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center"/>
        <w:rPr>
          <w:rFonts w:ascii="Times New Roman" w:hAnsi="Times New Roman"/>
          <w:b/>
          <w:sz w:val="36"/>
          <w:szCs w:val="36"/>
        </w:rPr>
      </w:pPr>
    </w:p>
    <w:p>
      <w:pPr>
        <w:ind w:firstLine="0" w:firstLineChars="0"/>
        <w:jc w:val="center"/>
        <w:rPr>
          <w:rFonts w:ascii="Times New Roman" w:hAnsi="Times New Roman"/>
          <w:b/>
          <w:sz w:val="36"/>
          <w:szCs w:val="36"/>
        </w:rPr>
      </w:pPr>
    </w:p>
    <w:p>
      <w:pPr>
        <w:ind w:firstLine="0" w:firstLineChars="0"/>
        <w:jc w:val="center"/>
        <w:rPr>
          <w:rFonts w:ascii="Times New Roman" w:hAnsi="Times New Roman"/>
          <w:b/>
          <w:sz w:val="36"/>
          <w:szCs w:val="36"/>
        </w:rPr>
      </w:pPr>
    </w:p>
    <w:p>
      <w:pPr>
        <w:ind w:firstLine="0" w:firstLineChars="0"/>
        <w:jc w:val="center"/>
        <w:rPr>
          <w:rFonts w:ascii="Times New Roman" w:hAnsi="Times New Roman"/>
          <w:b/>
          <w:sz w:val="36"/>
          <w:szCs w:val="36"/>
        </w:rPr>
      </w:pPr>
    </w:p>
    <w:p>
      <w:pPr>
        <w:ind w:firstLine="0" w:firstLineChars="0"/>
        <w:jc w:val="center"/>
        <w:rPr>
          <w:rFonts w:ascii="Times New Roman" w:hAnsi="Times New Roman"/>
          <w:b/>
          <w:sz w:val="36"/>
          <w:szCs w:val="36"/>
        </w:rPr>
      </w:pPr>
    </w:p>
    <w:p>
      <w:pPr>
        <w:widowControl/>
        <w:spacing w:line="240" w:lineRule="auto"/>
        <w:ind w:firstLine="0" w:firstLineChars="0"/>
        <w:jc w:val="center"/>
        <w:rPr>
          <w:rFonts w:hint="eastAsia" w:ascii="宋体" w:hAnsi="宋体" w:cs="宋体"/>
          <w:kern w:val="0"/>
        </w:rPr>
      </w:pPr>
      <w:r>
        <w:drawing>
          <wp:inline distT="0" distB="0" distL="0" distR="0">
            <wp:extent cx="5393690" cy="1686560"/>
            <wp:effectExtent l="0" t="0" r="3810" b="25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
                    <a:stretch>
                      <a:fillRect/>
                    </a:stretch>
                  </pic:blipFill>
                  <pic:spPr>
                    <a:xfrm>
                      <a:off x="0" y="0"/>
                      <a:ext cx="5416189" cy="1694153"/>
                    </a:xfrm>
                    <a:prstGeom prst="rect">
                      <a:avLst/>
                    </a:prstGeom>
                  </pic:spPr>
                </pic:pic>
              </a:graphicData>
            </a:graphic>
          </wp:inline>
        </w:drawing>
      </w:r>
    </w:p>
    <w:p>
      <w:pPr>
        <w:ind w:firstLine="0" w:firstLineChars="0"/>
        <w:rPr>
          <w:rFonts w:hint="eastAsia" w:ascii="Times New Roman" w:hAnsi="Times New Roman"/>
          <w:b/>
          <w:sz w:val="36"/>
          <w:szCs w:val="36"/>
        </w:rPr>
      </w:pPr>
    </w:p>
    <w:p>
      <w:pPr>
        <w:spacing w:line="720" w:lineRule="auto"/>
        <w:ind w:firstLine="0" w:firstLineChars="0"/>
        <w:jc w:val="center"/>
        <w:rPr>
          <w:rFonts w:ascii="Times New Roman" w:hAnsi="Times New Roman"/>
          <w:b/>
          <w:sz w:val="52"/>
          <w:szCs w:val="52"/>
        </w:rPr>
      </w:pPr>
      <w:r>
        <w:rPr>
          <w:rFonts w:hint="eastAsia" w:ascii="Times New Roman" w:hAnsi="Times New Roman"/>
          <w:b/>
          <w:sz w:val="52"/>
          <w:szCs w:val="52"/>
        </w:rPr>
        <w:t>安全检查</w:t>
      </w:r>
      <w:r>
        <w:rPr>
          <w:rFonts w:ascii="Times New Roman" w:hAnsi="Times New Roman"/>
          <w:b/>
          <w:sz w:val="52"/>
          <w:szCs w:val="52"/>
        </w:rPr>
        <w:t>管系统操作手册</w:t>
      </w:r>
    </w:p>
    <w:p>
      <w:pPr>
        <w:pStyle w:val="2"/>
        <w:ind w:left="480" w:firstLine="480"/>
        <w:rPr>
          <w:rFonts w:hint="eastAsia"/>
        </w:rPr>
      </w:pPr>
    </w:p>
    <w:p>
      <w:pPr>
        <w:wordWrap w:val="0"/>
        <w:spacing w:line="720" w:lineRule="auto"/>
        <w:ind w:firstLine="0" w:firstLineChars="0"/>
        <w:jc w:val="right"/>
        <w:rPr>
          <w:rFonts w:ascii="Times New Roman" w:hAnsi="Times New Roman"/>
          <w:b/>
          <w:sz w:val="52"/>
          <w:szCs w:val="52"/>
        </w:rPr>
      </w:pPr>
      <w:r>
        <w:rPr>
          <w:rFonts w:hint="eastAsia" w:ascii="Times New Roman" w:hAnsi="Times New Roman"/>
          <w:b/>
          <w:sz w:val="52"/>
          <w:szCs w:val="52"/>
        </w:rPr>
        <w:t>—安全责任人、安全联系人</w:t>
      </w:r>
      <w:r>
        <w:rPr>
          <w:rFonts w:ascii="Times New Roman" w:hAnsi="Times New Roman"/>
          <w:b/>
          <w:sz w:val="52"/>
          <w:szCs w:val="52"/>
        </w:rPr>
        <w:t xml:space="preserve"> </w:t>
      </w:r>
    </w:p>
    <w:p>
      <w:pPr>
        <w:widowControl/>
        <w:spacing w:line="240" w:lineRule="auto"/>
        <w:ind w:firstLine="0" w:firstLineChars="0"/>
        <w:jc w:val="left"/>
        <w:rPr>
          <w:rFonts w:ascii="Times New Roman" w:hAnsi="Times New Roman"/>
          <w:b/>
          <w:sz w:val="36"/>
          <w:szCs w:val="36"/>
        </w:rPr>
      </w:pPr>
      <w:r>
        <w:rPr>
          <w:rFonts w:ascii="Times New Roman" w:hAnsi="Times New Roman"/>
          <w:b/>
          <w:sz w:val="36"/>
          <w:szCs w:val="36"/>
        </w:rPr>
        <w:br w:type="page"/>
      </w:r>
      <w:bookmarkStart w:id="12" w:name="_GoBack"/>
      <w:bookmarkEnd w:id="12"/>
    </w:p>
    <w:sdt>
      <w:sdtPr>
        <w:rPr>
          <w:rFonts w:ascii="Calibri" w:hAnsi="Calibri" w:eastAsia="宋体" w:cs="Times New Roman"/>
          <w:color w:val="auto"/>
          <w:kern w:val="2"/>
          <w:sz w:val="24"/>
          <w:szCs w:val="24"/>
          <w:lang w:val="zh-CN"/>
        </w:rPr>
        <w:id w:val="-1401355620"/>
        <w:docPartObj>
          <w:docPartGallery w:val="Table of Contents"/>
          <w:docPartUnique/>
        </w:docPartObj>
      </w:sdtPr>
      <w:sdtEndPr>
        <w:rPr>
          <w:rFonts w:ascii="Calibri" w:hAnsi="Calibri" w:eastAsia="宋体" w:cs="Times New Roman"/>
          <w:b/>
          <w:bCs/>
          <w:color w:val="auto"/>
          <w:kern w:val="2"/>
          <w:sz w:val="24"/>
          <w:szCs w:val="24"/>
          <w:lang w:val="zh-CN"/>
        </w:rPr>
      </w:sdtEndPr>
      <w:sdtContent>
        <w:p>
          <w:pPr>
            <w:pStyle w:val="27"/>
            <w:jc w:val="center"/>
          </w:pPr>
          <w:r>
            <w:rPr>
              <w:lang w:val="zh-CN"/>
            </w:rPr>
            <w:t>目录</w:t>
          </w:r>
        </w:p>
        <w:p>
          <w:pPr>
            <w:pStyle w:val="11"/>
            <w:tabs>
              <w:tab w:val="left" w:pos="1050"/>
              <w:tab w:val="right" w:leader="dot" w:pos="8296"/>
            </w:tabs>
            <w:ind w:firstLine="480"/>
            <w:rPr>
              <w:rFonts w:asciiTheme="minorHAnsi" w:hAnsiTheme="minorHAnsi" w:eastAsiaTheme="minorEastAsia" w:cstheme="minorBidi"/>
              <w:sz w:val="21"/>
            </w:rPr>
          </w:pPr>
          <w:r>
            <w:fldChar w:fldCharType="begin"/>
          </w:r>
          <w:r>
            <w:instrText xml:space="preserve"> TOC \o "1-3" \h \z \u </w:instrText>
          </w:r>
          <w:r>
            <w:fldChar w:fldCharType="separate"/>
          </w:r>
          <w:r>
            <w:fldChar w:fldCharType="begin"/>
          </w:r>
          <w:r>
            <w:instrText xml:space="preserve"> HYPERLINK \l "_Toc148201449" </w:instrText>
          </w:r>
          <w:r>
            <w:fldChar w:fldCharType="separate"/>
          </w:r>
          <w:r>
            <w:rPr>
              <w:rStyle w:val="15"/>
            </w:rPr>
            <w:t>1</w:t>
          </w:r>
          <w:r>
            <w:rPr>
              <w:rFonts w:asciiTheme="minorHAnsi" w:hAnsiTheme="minorHAnsi" w:eastAsiaTheme="minorEastAsia" w:cstheme="minorBidi"/>
              <w:sz w:val="21"/>
            </w:rPr>
            <w:tab/>
          </w:r>
          <w:r>
            <w:rPr>
              <w:rStyle w:val="15"/>
            </w:rPr>
            <w:t>手机端</w:t>
          </w:r>
          <w:r>
            <w:tab/>
          </w:r>
          <w:r>
            <w:fldChar w:fldCharType="begin"/>
          </w:r>
          <w:r>
            <w:instrText xml:space="preserve"> PAGEREF _Toc148201449 \h </w:instrText>
          </w:r>
          <w:r>
            <w:fldChar w:fldCharType="separate"/>
          </w:r>
          <w:r>
            <w:t>2</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"_Toc148201450" </w:instrText>
          </w:r>
          <w:r>
            <w:fldChar w:fldCharType="separate"/>
          </w:r>
          <w:r>
            <w:rPr>
              <w:rStyle w:val="15"/>
            </w:rPr>
            <w:t>1.1 系统登陆及角色选择</w:t>
          </w:r>
          <w:r>
            <w:tab/>
          </w:r>
          <w:r>
            <w:fldChar w:fldCharType="begin"/>
          </w:r>
          <w:r>
            <w:instrText xml:space="preserve"> PAGEREF _Toc148201450 \h </w:instrText>
          </w:r>
          <w:r>
            <w:fldChar w:fldCharType="separate"/>
          </w:r>
          <w:r>
            <w:t>2</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"_Toc148201451" </w:instrText>
          </w:r>
          <w:r>
            <w:fldChar w:fldCharType="separate"/>
          </w:r>
          <w:r>
            <w:rPr>
              <w:rStyle w:val="15"/>
            </w:rPr>
            <w:t>1.2 隐患整改</w:t>
          </w:r>
          <w:r>
            <w:tab/>
          </w:r>
          <w:r>
            <w:fldChar w:fldCharType="begin"/>
          </w:r>
          <w:r>
            <w:instrText xml:space="preserve"> PAGEREF _Toc148201451 \h </w:instrText>
          </w:r>
          <w:r>
            <w:fldChar w:fldCharType="separate"/>
          </w:r>
          <w:r>
            <w:t>3</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"_Toc148201452" </w:instrText>
          </w:r>
          <w:r>
            <w:fldChar w:fldCharType="separate"/>
          </w:r>
          <w:r>
            <w:rPr>
              <w:rStyle w:val="15"/>
            </w:rPr>
            <w:t>1.3 日常自查</w:t>
          </w:r>
          <w:r>
            <w:tab/>
          </w:r>
          <w:r>
            <w:fldChar w:fldCharType="begin"/>
          </w:r>
          <w:r>
            <w:instrText xml:space="preserve"> PAGEREF _Toc148201452 \h </w:instrText>
          </w:r>
          <w:r>
            <w:fldChar w:fldCharType="separate"/>
          </w:r>
          <w:r>
            <w:t>4</w:t>
          </w:r>
          <w:r>
            <w:fldChar w:fldCharType="end"/>
          </w:r>
          <w:r>
            <w:fldChar w:fldCharType="end"/>
          </w:r>
        </w:p>
        <w:p>
          <w:pPr>
            <w:pStyle w:val="11"/>
            <w:tabs>
              <w:tab w:val="left" w:pos="1050"/>
              <w:tab w:val="right" w:leader="dot" w:pos="8296"/>
            </w:tabs>
            <w:ind w:firstLine="480"/>
            <w:rPr>
              <w:rFonts w:asciiTheme="minorHAnsi" w:hAnsiTheme="minorHAnsi" w:eastAsiaTheme="minorEastAsia" w:cstheme="minorBidi"/>
              <w:sz w:val="21"/>
            </w:rPr>
          </w:pPr>
          <w:r>
            <w:fldChar w:fldCharType="begin"/>
          </w:r>
          <w:r>
            <w:instrText xml:space="preserve"> HYPERLINK \l "_Toc148201453" </w:instrText>
          </w:r>
          <w:r>
            <w:fldChar w:fldCharType="separate"/>
          </w:r>
          <w:r>
            <w:rPr>
              <w:rStyle w:val="15"/>
            </w:rPr>
            <w:t>2</w:t>
          </w:r>
          <w:r>
            <w:rPr>
              <w:rFonts w:asciiTheme="minorHAnsi" w:hAnsiTheme="minorHAnsi" w:eastAsiaTheme="minorEastAsia" w:cstheme="minorBidi"/>
              <w:sz w:val="21"/>
            </w:rPr>
            <w:tab/>
          </w:r>
          <w:r>
            <w:rPr>
              <w:rStyle w:val="15"/>
            </w:rPr>
            <w:t>电脑端</w:t>
          </w:r>
          <w:r>
            <w:tab/>
          </w:r>
          <w:r>
            <w:fldChar w:fldCharType="begin"/>
          </w:r>
          <w:r>
            <w:instrText xml:space="preserve"> PAGEREF _Toc148201453 \h </w:instrText>
          </w:r>
          <w:r>
            <w:fldChar w:fldCharType="separate"/>
          </w:r>
          <w:r>
            <w:t>6</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"_Toc148201454" </w:instrText>
          </w:r>
          <w:r>
            <w:fldChar w:fldCharType="separate"/>
          </w:r>
          <w:r>
            <w:rPr>
              <w:rStyle w:val="15"/>
            </w:rPr>
            <w:t>2.1 登陆系统登陆及角色选择</w:t>
          </w:r>
          <w:r>
            <w:tab/>
          </w:r>
          <w:r>
            <w:fldChar w:fldCharType="begin"/>
          </w:r>
          <w:r>
            <w:instrText xml:space="preserve"> PAGEREF _Toc148201454 \h </w:instrText>
          </w:r>
          <w:r>
            <w:fldChar w:fldCharType="separate"/>
          </w:r>
          <w:r>
            <w:t>6</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"_Toc148201455" </w:instrText>
          </w:r>
          <w:r>
            <w:fldChar w:fldCharType="separate"/>
          </w:r>
          <w:r>
            <w:rPr>
              <w:rStyle w:val="15"/>
            </w:rPr>
            <w:t>2.2 隐患整改</w:t>
          </w:r>
          <w:r>
            <w:tab/>
          </w:r>
          <w:r>
            <w:fldChar w:fldCharType="begin"/>
          </w:r>
          <w:r>
            <w:instrText xml:space="preserve"> PAGEREF _Toc148201455 \h </w:instrText>
          </w:r>
          <w:r>
            <w:fldChar w:fldCharType="separate"/>
          </w:r>
          <w:r>
            <w:t>6</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"_Toc148201456" </w:instrText>
          </w:r>
          <w:r>
            <w:fldChar w:fldCharType="separate"/>
          </w:r>
          <w:r>
            <w:rPr>
              <w:rStyle w:val="15"/>
            </w:rPr>
            <w:t>2.3 日常自查</w:t>
          </w:r>
          <w:r>
            <w:tab/>
          </w:r>
          <w:r>
            <w:fldChar w:fldCharType="begin"/>
          </w:r>
          <w:r>
            <w:instrText xml:space="preserve"> PAGEREF _Toc148201456 \h </w:instrText>
          </w:r>
          <w:r>
            <w:fldChar w:fldCharType="separate"/>
          </w:r>
          <w:r>
            <w:t>7</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"_Toc148201457" </w:instrText>
          </w:r>
          <w:r>
            <w:fldChar w:fldCharType="separate"/>
          </w:r>
          <w:r>
            <w:rPr>
              <w:rStyle w:val="15"/>
            </w:rPr>
            <w:t>2.4 达标检查</w:t>
          </w:r>
          <w:r>
            <w:tab/>
          </w:r>
          <w:r>
            <w:fldChar w:fldCharType="begin"/>
          </w:r>
          <w:r>
            <w:instrText xml:space="preserve"> PAGEREF _Toc148201457 \h </w:instrText>
          </w:r>
          <w:r>
            <w:fldChar w:fldCharType="separate"/>
          </w:r>
          <w:r>
            <w:t>7</w:t>
          </w:r>
          <w:r>
            <w:fldChar w:fldCharType="end"/>
          </w:r>
          <w:r>
            <w:fldChar w:fldCharType="end"/>
          </w:r>
        </w:p>
        <w:p>
          <w:pPr>
            <w:pStyle w:val="8"/>
            <w:tabs>
              <w:tab w:val="right" w:leader="dot" w:pos="8296"/>
            </w:tabs>
            <w:ind w:left="960" w:firstLine="480"/>
            <w:rPr>
              <w:rFonts w:asciiTheme="minorHAnsi" w:hAnsiTheme="minorHAnsi" w:eastAsiaTheme="minorEastAsia" w:cstheme="minorBidi"/>
              <w:sz w:val="21"/>
            </w:rPr>
          </w:pPr>
          <w:r>
            <w:fldChar w:fldCharType="begin"/>
          </w:r>
          <w:r>
            <w:instrText xml:space="preserve"> HYPERLINK \l "_Toc148201458" </w:instrText>
          </w:r>
          <w:r>
            <w:fldChar w:fldCharType="separate"/>
          </w:r>
          <w:r>
            <w:rPr>
              <w:rStyle w:val="15"/>
            </w:rPr>
            <w:t>2.4.1 自查</w:t>
          </w:r>
          <w:r>
            <w:tab/>
          </w:r>
          <w:r>
            <w:fldChar w:fldCharType="begin"/>
          </w:r>
          <w:r>
            <w:instrText xml:space="preserve"> PAGEREF _Toc148201458 \h </w:instrText>
          </w:r>
          <w:r>
            <w:fldChar w:fldCharType="separate"/>
          </w:r>
          <w:r>
            <w:t>7</w:t>
          </w:r>
          <w:r>
            <w:fldChar w:fldCharType="end"/>
          </w:r>
          <w:r>
            <w:fldChar w:fldCharType="end"/>
          </w:r>
        </w:p>
        <w:p>
          <w:pPr>
            <w:pStyle w:val="8"/>
            <w:tabs>
              <w:tab w:val="right" w:leader="dot" w:pos="8296"/>
            </w:tabs>
            <w:ind w:left="960" w:firstLine="480"/>
            <w:rPr>
              <w:rFonts w:asciiTheme="minorHAnsi" w:hAnsiTheme="minorHAnsi" w:eastAsiaTheme="minorEastAsia" w:cstheme="minorBidi"/>
              <w:sz w:val="21"/>
            </w:rPr>
          </w:pPr>
          <w:r>
            <w:fldChar w:fldCharType="begin"/>
          </w:r>
          <w:r>
            <w:instrText xml:space="preserve"> HYPERLINK \l "_Toc148201459" </w:instrText>
          </w:r>
          <w:r>
            <w:fldChar w:fldCharType="separate"/>
          </w:r>
          <w:r>
            <w:rPr>
              <w:rStyle w:val="15"/>
            </w:rPr>
            <w:t>2.4.2 查看结果</w:t>
          </w:r>
          <w:r>
            <w:tab/>
          </w:r>
          <w:r>
            <w:fldChar w:fldCharType="begin"/>
          </w:r>
          <w:r>
            <w:instrText xml:space="preserve"> PAGEREF _Toc148201459 \h </w:instrText>
          </w:r>
          <w:r>
            <w:fldChar w:fldCharType="separate"/>
          </w:r>
          <w:r>
            <w:t>8</w:t>
          </w:r>
          <w:r>
            <w:fldChar w:fldCharType="end"/>
          </w:r>
          <w:r>
            <w:fldChar w:fldCharType="end"/>
          </w:r>
        </w:p>
        <w:p>
          <w:pPr>
            <w:pStyle w:val="12"/>
            <w:tabs>
              <w:tab w:val="right" w:leader="dot" w:pos="8296"/>
            </w:tabs>
            <w:ind w:left="480" w:firstLine="480"/>
            <w:rPr>
              <w:rFonts w:asciiTheme="minorHAnsi" w:hAnsiTheme="minorHAnsi" w:eastAsiaTheme="minorEastAsia" w:cstheme="minorBidi"/>
              <w:sz w:val="21"/>
            </w:rPr>
          </w:pPr>
          <w:r>
            <w:fldChar w:fldCharType="begin"/>
          </w:r>
          <w:r>
            <w:instrText xml:space="preserve"> HYPERLINK \l "_Toc148201460" </w:instrText>
          </w:r>
          <w:r>
            <w:fldChar w:fldCharType="separate"/>
          </w:r>
          <w:r>
            <w:rPr>
              <w:rStyle w:val="15"/>
            </w:rPr>
            <w:t>2.5 安全台账</w:t>
          </w:r>
          <w:r>
            <w:tab/>
          </w:r>
          <w:r>
            <w:fldChar w:fldCharType="begin"/>
          </w:r>
          <w:r>
            <w:instrText xml:space="preserve"> PAGEREF _Toc148201460 \h </w:instrText>
          </w:r>
          <w:r>
            <w:fldChar w:fldCharType="separate"/>
          </w:r>
          <w:r>
            <w:t>9</w:t>
          </w:r>
          <w:r>
            <w:fldChar w:fldCharType="end"/>
          </w:r>
          <w:r>
            <w:fldChar w:fldCharType="end"/>
          </w:r>
        </w:p>
        <w:p>
          <w:pPr>
            <w:ind w:firstLine="480"/>
          </w:pPr>
          <w:r>
            <w:rPr>
              <w:bCs/>
              <w:lang w:val="zh-CN"/>
            </w:rPr>
            <w:fldChar w:fldCharType="end"/>
          </w:r>
        </w:p>
      </w:sdtContent>
    </w:sdt>
    <w:p>
      <w:pPr>
        <w:ind w:firstLine="0" w:firstLineChars="0"/>
        <w:jc w:val="left"/>
        <w:rPr>
          <w:rFonts w:ascii="宋体" w:hAnsi="宋体" w:cstheme="minorBidi"/>
          <w:spacing w:val="5"/>
          <w:sz w:val="32"/>
          <w:szCs w:val="32"/>
        </w:rPr>
      </w:pPr>
      <w:r>
        <w:br w:type="page"/>
      </w:r>
    </w:p>
    <w:p>
      <w:pPr>
        <w:pStyle w:val="4"/>
      </w:pPr>
      <w:bookmarkStart w:id="0" w:name="_Toc148201449"/>
      <w:r>
        <w:rPr>
          <w:rFonts w:hint="eastAsia"/>
        </w:rPr>
        <w:t>手机端</w:t>
      </w:r>
      <w:bookmarkEnd w:id="0"/>
    </w:p>
    <w:p>
      <w:pPr>
        <w:pStyle w:val="5"/>
      </w:pPr>
      <w:bookmarkStart w:id="1" w:name="_Toc148201450"/>
      <w:r>
        <w:rPr>
          <w:rFonts w:hint="eastAsia"/>
        </w:rPr>
        <w:t>系统登陆及角色选择</w:t>
      </w:r>
      <w:bookmarkEnd w:id="1"/>
    </w:p>
    <w:p>
      <w:pPr>
        <w:ind w:firstLine="480"/>
        <w:rPr>
          <w:rFonts w:ascii="DengXian" w:hAnsi="DengXian"/>
        </w:rPr>
      </w:pPr>
      <w:r>
        <w:rPr>
          <w:rFonts w:ascii="Times New Roman" w:hAnsi="Times New Roman"/>
        </w:rPr>
        <w:t>校内人员单击</w:t>
      </w:r>
      <w:r>
        <w:rPr>
          <w:rFonts w:hint="eastAsia" w:ascii="Times New Roman" w:hAnsi="Times New Roman"/>
        </w:rPr>
        <w:t>“</w:t>
      </w:r>
      <w:r>
        <w:rPr>
          <w:rFonts w:ascii="Times New Roman" w:hAnsi="Times New Roman"/>
        </w:rPr>
        <w:t>统一身份认证登录</w:t>
      </w:r>
      <w:r>
        <w:rPr>
          <w:rFonts w:hint="eastAsia" w:ascii="Times New Roman" w:hAnsi="Times New Roman"/>
        </w:rPr>
        <w:t>”；没有统一认证的人员</w:t>
      </w:r>
      <w:r>
        <w:rPr>
          <w:rFonts w:ascii="Times New Roman" w:hAnsi="Times New Roman"/>
        </w:rPr>
        <w:t>单击</w:t>
      </w:r>
      <w:r>
        <w:rPr>
          <w:rFonts w:hint="eastAsia" w:ascii="Times New Roman" w:hAnsi="Times New Roman"/>
        </w:rPr>
        <w:t>“</w:t>
      </w:r>
      <w:r>
        <w:rPr>
          <w:rFonts w:ascii="Times New Roman" w:hAnsi="Times New Roman"/>
        </w:rPr>
        <w:t>登录</w:t>
      </w:r>
      <w:r>
        <w:rPr>
          <w:rFonts w:hint="eastAsia" w:ascii="Times New Roman" w:hAnsi="Times New Roman"/>
        </w:rPr>
        <w:t>”</w:t>
      </w:r>
      <w:r>
        <w:rPr>
          <w:rFonts w:ascii="Times New Roman" w:hAnsi="Times New Roman"/>
        </w:rPr>
        <w:t>，输入账号密码登录后，在出现的</w:t>
      </w:r>
      <w:r>
        <w:rPr>
          <w:rFonts w:hint="eastAsia" w:ascii="Times New Roman" w:hAnsi="Times New Roman"/>
        </w:rPr>
        <w:t>“</w:t>
      </w:r>
      <w:r>
        <w:rPr>
          <w:rFonts w:ascii="Times New Roman" w:hAnsi="Times New Roman"/>
        </w:rPr>
        <w:t>选择角色</w:t>
      </w:r>
      <w:r>
        <w:rPr>
          <w:rFonts w:hint="eastAsia" w:ascii="Times New Roman" w:hAnsi="Times New Roman"/>
        </w:rPr>
        <w:t>”</w:t>
      </w:r>
      <w:r>
        <w:rPr>
          <w:rFonts w:ascii="Times New Roman" w:hAnsi="Times New Roman"/>
        </w:rPr>
        <w:t>窗口中找到</w:t>
      </w:r>
      <w:r>
        <w:rPr>
          <w:rFonts w:hint="eastAsia" w:ascii="Times New Roman" w:hAnsi="Times New Roman"/>
        </w:rPr>
        <w:t>对应的实验室角</w:t>
      </w:r>
      <w:r>
        <w:rPr>
          <w:rFonts w:ascii="Times New Roman" w:hAnsi="Times New Roman"/>
        </w:rPr>
        <w:t>色，单击</w:t>
      </w:r>
      <w:r>
        <w:rPr>
          <w:rFonts w:hint="eastAsia" w:ascii="Times New Roman" w:hAnsi="Times New Roman"/>
        </w:rPr>
        <w:t>“</w:t>
      </w:r>
      <w:r>
        <w:rPr>
          <w:rFonts w:ascii="Times New Roman" w:hAnsi="Times New Roman"/>
        </w:rPr>
        <w:t>选择</w:t>
      </w:r>
      <w:r>
        <w:rPr>
          <w:rFonts w:hint="eastAsia" w:ascii="Times New Roman" w:hAnsi="Times New Roman"/>
        </w:rPr>
        <w:t>”</w:t>
      </w:r>
      <w:r>
        <w:rPr>
          <w:rFonts w:ascii="Times New Roman" w:hAnsi="Times New Roman"/>
        </w:rPr>
        <w:t>进入</w:t>
      </w:r>
      <w:r>
        <w:rPr>
          <w:rFonts w:hint="eastAsia" w:ascii="Times New Roman" w:hAnsi="Times New Roman"/>
        </w:rPr>
        <w:t>实验室安全</w:t>
      </w:r>
      <w:r>
        <w:rPr>
          <w:rFonts w:ascii="Times New Roman" w:hAnsi="Times New Roman"/>
        </w:rPr>
        <w:t>综合管理平台。</w:t>
      </w:r>
    </w:p>
    <w:p>
      <w:pPr>
        <w:ind w:firstLine="0" w:firstLineChars="0"/>
        <w:jc w:val="center"/>
        <w:rPr>
          <w:rFonts w:ascii="DengXian" w:hAnsi="DengXian"/>
        </w:rPr>
      </w:pPr>
      <w:r>
        <w:rPr>
          <w:rFonts w:ascii="DengXian" w:hAnsi="DengXian"/>
        </w:rPr>
        <w:drawing>
          <wp:inline distT="0" distB="0" distL="0" distR="0">
            <wp:extent cx="1801495" cy="2296160"/>
            <wp:effectExtent l="0" t="0" r="190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1805891" cy="2301809"/>
                    </a:xfrm>
                    <a:prstGeom prst="rect">
                      <a:avLst/>
                    </a:prstGeom>
                  </pic:spPr>
                </pic:pic>
              </a:graphicData>
            </a:graphic>
          </wp:inline>
        </w:drawing>
      </w:r>
      <w:r>
        <w:rPr>
          <w:rFonts w:hint="eastAsia" w:ascii="DengXian" w:hAnsi="DengXian"/>
        </w:rPr>
        <w:t xml:space="preserve"> </w:t>
      </w:r>
      <w:r>
        <w:rPr>
          <w:rFonts w:ascii="DengXian" w:hAnsi="DengXian"/>
        </w:rPr>
        <w:t xml:space="preserve"> </w:t>
      </w:r>
      <w:r>
        <w:rPr>
          <w:rFonts w:ascii="DengXian" w:hAnsi="DengXian"/>
        </w:rPr>
        <w:drawing>
          <wp:inline distT="0" distB="0" distL="0" distR="0">
            <wp:extent cx="2171700" cy="35179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2171700" cy="3517900"/>
                    </a:xfrm>
                    <a:prstGeom prst="rect">
                      <a:avLst/>
                    </a:prstGeom>
                  </pic:spPr>
                </pic:pic>
              </a:graphicData>
            </a:graphic>
          </wp:inline>
        </w:drawing>
      </w:r>
    </w:p>
    <w:p>
      <w:pPr>
        <w:ind w:firstLine="480"/>
        <w:rPr>
          <w:rFonts w:ascii="Times New Roman" w:hAnsi="Times New Roman"/>
        </w:rPr>
      </w:pPr>
      <w:r>
        <w:rPr>
          <w:rFonts w:hint="eastAsia" w:ascii="Times New Roman" w:hAnsi="Times New Roman"/>
        </w:rPr>
        <w:t>在首页中点击“安全检查”，即可进入检查系统。</w:t>
      </w:r>
    </w:p>
    <w:p>
      <w:pPr>
        <w:ind w:firstLine="0" w:firstLineChars="0"/>
        <w:jc w:val="center"/>
        <w:rPr>
          <w:rFonts w:ascii="DengXian" w:hAnsi="DengXian"/>
        </w:rPr>
      </w:pPr>
      <w:r>
        <w:rPr>
          <w:rFonts w:ascii="DengXian" w:hAnsi="DengXian"/>
        </w:rPr>
        <w:drawing>
          <wp:inline distT="0" distB="0" distL="0" distR="0">
            <wp:extent cx="1998345" cy="30657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2001809" cy="3070838"/>
                    </a:xfrm>
                    <a:prstGeom prst="rect">
                      <a:avLst/>
                    </a:prstGeom>
                  </pic:spPr>
                </pic:pic>
              </a:graphicData>
            </a:graphic>
          </wp:inline>
        </w:drawing>
      </w:r>
      <w:r>
        <w:rPr>
          <w:rFonts w:ascii="DengXian" w:hAnsi="DengXian"/>
        </w:rPr>
        <w:t xml:space="preserve"> </w:t>
      </w:r>
    </w:p>
    <w:p>
      <w:pPr>
        <w:pStyle w:val="5"/>
      </w:pPr>
      <w:bookmarkStart w:id="2" w:name="_Toc148201451"/>
      <w:r>
        <w:rPr>
          <w:rFonts w:hint="eastAsia"/>
        </w:rPr>
        <w:t>隐患整改</w:t>
      </w:r>
      <w:bookmarkEnd w:id="2"/>
    </w:p>
    <w:p>
      <w:pPr>
        <w:ind w:firstLine="480"/>
      </w:pPr>
      <w:r>
        <w:rPr>
          <w:rFonts w:hint="eastAsia"/>
        </w:rPr>
        <w:t>进入安全检查系统，点击隐患整改，默认显示未完成的隐患，学院发布的隐患和提交了整改被审核不通过的隐患都会显示在此。可以点击“已完成”查看已经提交整改完成的隐患。</w:t>
      </w:r>
    </w:p>
    <w:p>
      <w:pPr>
        <w:pStyle w:val="2"/>
        <w:ind w:left="480" w:firstLine="0" w:firstLineChars="0"/>
      </w:pPr>
      <w:r>
        <w:rPr>
          <w:rFonts w:hint="eastAsia"/>
        </w:rPr>
        <w:t xml:space="preserve"> </w:t>
      </w:r>
      <w:r>
        <w:drawing>
          <wp:inline distT="0" distB="0" distL="0" distR="0">
            <wp:extent cx="2306955" cy="3283585"/>
            <wp:effectExtent l="0" t="0" r="444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
                    <a:stretch>
                      <a:fillRect/>
                    </a:stretch>
                  </pic:blipFill>
                  <pic:spPr>
                    <a:xfrm>
                      <a:off x="0" y="0"/>
                      <a:ext cx="2319983" cy="3302015"/>
                    </a:xfrm>
                    <a:prstGeom prst="rect">
                      <a:avLst/>
                    </a:prstGeom>
                  </pic:spPr>
                </pic:pic>
              </a:graphicData>
            </a:graphic>
          </wp:inline>
        </w:drawing>
      </w:r>
      <w:r>
        <w:t xml:space="preserve"> </w:t>
      </w:r>
      <w:r>
        <w:drawing>
          <wp:inline distT="0" distB="0" distL="0" distR="0">
            <wp:extent cx="1945640" cy="33051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1961479" cy="3332345"/>
                    </a:xfrm>
                    <a:prstGeom prst="rect">
                      <a:avLst/>
                    </a:prstGeom>
                  </pic:spPr>
                </pic:pic>
              </a:graphicData>
            </a:graphic>
          </wp:inline>
        </w:drawing>
      </w:r>
    </w:p>
    <w:p>
      <w:pPr>
        <w:ind w:firstLine="480"/>
      </w:pPr>
      <w:r>
        <w:rPr>
          <w:rFonts w:hint="eastAsia"/>
        </w:rPr>
        <w:t>点击选择某一条隐患信息，可以查看隐患的详情，整改需要填写整改描述和上传整改照片。</w:t>
      </w:r>
    </w:p>
    <w:p>
      <w:pPr>
        <w:ind w:firstLine="480"/>
      </w:pPr>
      <w:r>
        <w:rPr>
          <w:rFonts w:hint="eastAsia"/>
        </w:rPr>
        <w:t>整改完成：是指已经具备整改条件并且已经整改到位的隐患需要提交整改描述和整改完成后的照片。</w:t>
      </w:r>
    </w:p>
    <w:p>
      <w:pPr>
        <w:ind w:firstLine="480"/>
      </w:pPr>
      <w:r>
        <w:rPr>
          <w:rFonts w:hint="eastAsia"/>
        </w:rPr>
        <w:t>已有计划：指当前时间或者最近一段时间不具备整改条件无法完成整改的隐患，可以选择已有计划，需要填写整改描述、计划完成时间，整改图片（可以是说明情况）。</w:t>
      </w:r>
    </w:p>
    <w:p>
      <w:pPr>
        <w:pStyle w:val="2"/>
        <w:ind w:left="480" w:firstLine="480"/>
      </w:pPr>
      <w:r>
        <w:drawing>
          <wp:inline distT="0" distB="0" distL="0" distR="0">
            <wp:extent cx="2387600" cy="4775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8"/>
                    <a:stretch>
                      <a:fillRect/>
                    </a:stretch>
                  </pic:blipFill>
                  <pic:spPr>
                    <a:xfrm>
                      <a:off x="0" y="0"/>
                      <a:ext cx="2387600" cy="4775200"/>
                    </a:xfrm>
                    <a:prstGeom prst="rect">
                      <a:avLst/>
                    </a:prstGeom>
                  </pic:spPr>
                </pic:pic>
              </a:graphicData>
            </a:graphic>
          </wp:inline>
        </w:drawing>
      </w:r>
    </w:p>
    <w:p>
      <w:pPr>
        <w:pStyle w:val="5"/>
      </w:pPr>
      <w:bookmarkStart w:id="3" w:name="_Toc148201452"/>
      <w:r>
        <w:rPr>
          <w:rFonts w:hint="eastAsia"/>
        </w:rPr>
        <w:t>日常自查</w:t>
      </w:r>
      <w:bookmarkEnd w:id="3"/>
    </w:p>
    <w:p>
      <w:pPr>
        <w:pStyle w:val="2"/>
        <w:ind w:left="0" w:leftChars="0" w:firstLine="480"/>
      </w:pPr>
      <w:r>
        <w:rPr>
          <w:rFonts w:hint="eastAsia"/>
        </w:rPr>
        <w:t>如果学校和学院发布了日常自查，可以在自查模块按频率进行自查。点击我的自查，进入自查页面默认显示进行中的自查任务。</w:t>
      </w:r>
    </w:p>
    <w:p>
      <w:pPr>
        <w:pStyle w:val="2"/>
        <w:ind w:left="480" w:firstLine="0" w:firstLineChars="0"/>
      </w:pPr>
      <w:r>
        <w:drawing>
          <wp:inline distT="0" distB="0" distL="0" distR="0">
            <wp:extent cx="2362200" cy="3225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a:stretch>
                      <a:fillRect/>
                    </a:stretch>
                  </pic:blipFill>
                  <pic:spPr>
                    <a:xfrm>
                      <a:off x="0" y="0"/>
                      <a:ext cx="2362200" cy="3225800"/>
                    </a:xfrm>
                    <a:prstGeom prst="rect">
                      <a:avLst/>
                    </a:prstGeom>
                  </pic:spPr>
                </pic:pic>
              </a:graphicData>
            </a:graphic>
          </wp:inline>
        </w:drawing>
      </w:r>
      <w:r>
        <w:rPr>
          <w:rFonts w:hint="eastAsia"/>
        </w:rPr>
        <w:t xml:space="preserve"> </w:t>
      </w:r>
      <w:r>
        <w:drawing>
          <wp:inline distT="0" distB="0" distL="0" distR="0">
            <wp:extent cx="2030730" cy="3263900"/>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0"/>
                    <a:stretch>
                      <a:fillRect/>
                    </a:stretch>
                  </pic:blipFill>
                  <pic:spPr>
                    <a:xfrm>
                      <a:off x="0" y="0"/>
                      <a:ext cx="2041536" cy="3281423"/>
                    </a:xfrm>
                    <a:prstGeom prst="rect">
                      <a:avLst/>
                    </a:prstGeom>
                  </pic:spPr>
                </pic:pic>
              </a:graphicData>
            </a:graphic>
          </wp:inline>
        </w:drawing>
      </w:r>
    </w:p>
    <w:p>
      <w:pPr>
        <w:pStyle w:val="2"/>
        <w:ind w:left="0" w:leftChars="0" w:firstLine="480"/>
      </w:pPr>
      <w:r>
        <w:rPr>
          <w:rFonts w:hint="eastAsia"/>
        </w:rPr>
        <w:t>点击进行中的任务下方的开始自查，进入房间列表页面，选择房间点击自查按钮开始填报自查情况。</w:t>
      </w:r>
    </w:p>
    <w:p>
      <w:pPr>
        <w:pStyle w:val="2"/>
        <w:ind w:left="480" w:firstLine="480"/>
      </w:pPr>
      <w:r>
        <w:drawing>
          <wp:inline distT="0" distB="0" distL="0" distR="0">
            <wp:extent cx="1993900" cy="4314825"/>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1995602" cy="4318545"/>
                    </a:xfrm>
                    <a:prstGeom prst="rect">
                      <a:avLst/>
                    </a:prstGeom>
                  </pic:spPr>
                </pic:pic>
              </a:graphicData>
            </a:graphic>
          </wp:inline>
        </w:drawing>
      </w:r>
      <w:r>
        <w:rPr>
          <w:rFonts w:hint="eastAsia"/>
        </w:rPr>
        <w:t xml:space="preserve"> </w:t>
      </w:r>
      <w:r>
        <w:drawing>
          <wp:inline distT="0" distB="0" distL="0" distR="0">
            <wp:extent cx="1981835" cy="42894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1982548" cy="4290296"/>
                    </a:xfrm>
                    <a:prstGeom prst="rect">
                      <a:avLst/>
                    </a:prstGeom>
                  </pic:spPr>
                </pic:pic>
              </a:graphicData>
            </a:graphic>
          </wp:inline>
        </w:drawing>
      </w:r>
    </w:p>
    <w:p>
      <w:pPr>
        <w:pStyle w:val="4"/>
      </w:pPr>
      <w:bookmarkStart w:id="4" w:name="_Toc148201453"/>
      <w:r>
        <w:rPr>
          <w:rFonts w:hint="eastAsia"/>
        </w:rPr>
        <w:t>电脑端</w:t>
      </w:r>
      <w:bookmarkEnd w:id="4"/>
    </w:p>
    <w:p>
      <w:pPr>
        <w:pStyle w:val="5"/>
      </w:pPr>
      <w:bookmarkStart w:id="5" w:name="_Toc148201454"/>
      <w:r>
        <w:rPr>
          <w:rFonts w:hint="eastAsia"/>
        </w:rPr>
        <w:t>登陆系统登陆及角色选择</w:t>
      </w:r>
      <w:bookmarkEnd w:id="5"/>
    </w:p>
    <w:p>
      <w:pPr>
        <w:ind w:firstLine="480"/>
        <w:rPr>
          <w:rFonts w:ascii="Times New Roman" w:hAnsi="Times New Roman"/>
        </w:rPr>
      </w:pPr>
      <w:r>
        <w:rPr>
          <w:rFonts w:ascii="Times New Roman" w:hAnsi="Times New Roman"/>
        </w:rPr>
        <w:t>在浏览器地址栏输入</w:t>
      </w:r>
      <w:r>
        <w:rPr>
          <w:rStyle w:val="15"/>
          <w:rFonts w:hint="eastAsia" w:ascii="Times New Roman" w:hAnsi="Times New Roman"/>
        </w:rPr>
        <w:t>http://labsafe.zju.edu.cn/</w:t>
      </w:r>
      <w:r>
        <w:rPr>
          <w:rFonts w:ascii="Times New Roman" w:hAnsi="Times New Roman"/>
        </w:rPr>
        <w:t>进入</w:t>
      </w:r>
      <w:r>
        <w:rPr>
          <w:rFonts w:hint="eastAsia" w:ascii="Times New Roman" w:hAnsi="Times New Roman"/>
        </w:rPr>
        <w:t>系统</w:t>
      </w:r>
      <w:r>
        <w:rPr>
          <w:rFonts w:ascii="Times New Roman" w:hAnsi="Times New Roman"/>
        </w:rPr>
        <w:t>页面，</w:t>
      </w:r>
      <w:r>
        <w:rPr>
          <w:rFonts w:hint="eastAsia" w:ascii="Times New Roman" w:hAnsi="Times New Roman"/>
        </w:rPr>
        <w:t xml:space="preserve"> 点击安全检查系统，</w:t>
      </w:r>
      <w:r>
        <w:rPr>
          <w:rFonts w:ascii="Times New Roman" w:hAnsi="Times New Roman"/>
        </w:rPr>
        <w:t>校内人员单击</w:t>
      </w:r>
      <w:r>
        <w:rPr>
          <w:rFonts w:hint="eastAsia" w:ascii="Times New Roman" w:hAnsi="Times New Roman"/>
        </w:rPr>
        <w:t>“</w:t>
      </w:r>
      <w:r>
        <w:rPr>
          <w:rFonts w:ascii="Times New Roman" w:hAnsi="Times New Roman"/>
        </w:rPr>
        <w:t>统一身份认证登录</w:t>
      </w:r>
      <w:r>
        <w:rPr>
          <w:rFonts w:hint="eastAsia" w:ascii="Times New Roman" w:hAnsi="Times New Roman"/>
        </w:rPr>
        <w:t>”；没有统一认证的人员</w:t>
      </w:r>
      <w:r>
        <w:rPr>
          <w:rFonts w:ascii="Times New Roman" w:hAnsi="Times New Roman"/>
        </w:rPr>
        <w:t>单击</w:t>
      </w:r>
      <w:r>
        <w:rPr>
          <w:rFonts w:hint="eastAsia" w:ascii="Times New Roman" w:hAnsi="Times New Roman"/>
        </w:rPr>
        <w:t>“</w:t>
      </w:r>
      <w:r>
        <w:rPr>
          <w:rFonts w:ascii="Times New Roman" w:hAnsi="Times New Roman"/>
        </w:rPr>
        <w:t>登录</w:t>
      </w:r>
      <w:r>
        <w:rPr>
          <w:rFonts w:hint="eastAsia" w:ascii="Times New Roman" w:hAnsi="Times New Roman"/>
        </w:rPr>
        <w:t>”</w:t>
      </w:r>
      <w:r>
        <w:rPr>
          <w:rFonts w:ascii="Times New Roman" w:hAnsi="Times New Roman"/>
        </w:rPr>
        <w:t>，输入账号密码登录后，在出现的</w:t>
      </w:r>
      <w:r>
        <w:rPr>
          <w:rFonts w:hint="eastAsia" w:ascii="Times New Roman" w:hAnsi="Times New Roman"/>
        </w:rPr>
        <w:t>“</w:t>
      </w:r>
      <w:r>
        <w:rPr>
          <w:rFonts w:ascii="Times New Roman" w:hAnsi="Times New Roman"/>
        </w:rPr>
        <w:t>选择角色</w:t>
      </w:r>
      <w:r>
        <w:rPr>
          <w:rFonts w:hint="eastAsia" w:ascii="Times New Roman" w:hAnsi="Times New Roman"/>
        </w:rPr>
        <w:t>”</w:t>
      </w:r>
      <w:r>
        <w:rPr>
          <w:rFonts w:ascii="Times New Roman" w:hAnsi="Times New Roman"/>
        </w:rPr>
        <w:t>窗口中找到相应的</w:t>
      </w:r>
      <w:r>
        <w:rPr>
          <w:rFonts w:hint="eastAsia" w:ascii="Times New Roman" w:hAnsi="Times New Roman"/>
        </w:rPr>
        <w:t>实验室</w:t>
      </w:r>
      <w:r>
        <w:rPr>
          <w:rFonts w:ascii="Times New Roman" w:hAnsi="Times New Roman"/>
        </w:rPr>
        <w:t>角色，单击</w:t>
      </w:r>
      <w:r>
        <w:rPr>
          <w:rFonts w:hint="eastAsia" w:ascii="Times New Roman" w:hAnsi="Times New Roman"/>
        </w:rPr>
        <w:t>“</w:t>
      </w:r>
      <w:r>
        <w:rPr>
          <w:rFonts w:ascii="Times New Roman" w:hAnsi="Times New Roman"/>
        </w:rPr>
        <w:t>选择</w:t>
      </w:r>
      <w:r>
        <w:rPr>
          <w:rFonts w:hint="eastAsia" w:ascii="Times New Roman" w:hAnsi="Times New Roman"/>
        </w:rPr>
        <w:t>”</w:t>
      </w:r>
      <w:r>
        <w:rPr>
          <w:rFonts w:hint="eastAsia"/>
        </w:rPr>
        <w:t>按钮，登录系统。</w:t>
      </w:r>
    </w:p>
    <w:p>
      <w:pPr>
        <w:pStyle w:val="2"/>
        <w:ind w:left="0" w:leftChars="0" w:firstLine="0" w:firstLineChars="0"/>
      </w:pPr>
      <w:r>
        <w:drawing>
          <wp:inline distT="0" distB="0" distL="0" distR="0">
            <wp:extent cx="2292985" cy="2105025"/>
            <wp:effectExtent l="0" t="0" r="5715"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stretch>
                      <a:fillRect/>
                    </a:stretch>
                  </pic:blipFill>
                  <pic:spPr>
                    <a:xfrm>
                      <a:off x="0" y="0"/>
                      <a:ext cx="2295714" cy="2107349"/>
                    </a:xfrm>
                    <a:prstGeom prst="rect">
                      <a:avLst/>
                    </a:prstGeom>
                  </pic:spPr>
                </pic:pic>
              </a:graphicData>
            </a:graphic>
          </wp:inline>
        </w:drawing>
      </w:r>
      <w:r>
        <w:drawing>
          <wp:inline distT="0" distB="0" distL="0" distR="0">
            <wp:extent cx="2962275" cy="2094230"/>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2971941" cy="2101130"/>
                    </a:xfrm>
                    <a:prstGeom prst="rect">
                      <a:avLst/>
                    </a:prstGeom>
                  </pic:spPr>
                </pic:pic>
              </a:graphicData>
            </a:graphic>
          </wp:inline>
        </w:drawing>
      </w:r>
    </w:p>
    <w:p>
      <w:pPr>
        <w:pStyle w:val="2"/>
        <w:spacing w:after="0" w:line="0" w:lineRule="atLeast"/>
        <w:ind w:left="0" w:leftChars="0" w:firstLine="0" w:firstLineChars="0"/>
      </w:pPr>
    </w:p>
    <w:p>
      <w:pPr>
        <w:pStyle w:val="5"/>
      </w:pPr>
      <w:bookmarkStart w:id="6" w:name="_Toc148201455"/>
      <w:r>
        <w:rPr>
          <w:rFonts w:hint="eastAsia"/>
        </w:rPr>
        <w:t>隐患整改</w:t>
      </w:r>
      <w:bookmarkEnd w:id="6"/>
    </w:p>
    <w:p>
      <w:pPr>
        <w:ind w:firstLine="480"/>
        <w:rPr>
          <w:rFonts w:ascii="Times New Roman" w:hAnsi="Times New Roman"/>
        </w:rPr>
      </w:pPr>
      <w:r>
        <w:rPr>
          <w:rFonts w:hint="eastAsia" w:ascii="Times New Roman" w:hAnsi="Times New Roman"/>
        </w:rPr>
        <w:t>点击隐患整改，可以查看待整改的隐患，点击隐患右侧的</w:t>
      </w:r>
      <w:r>
        <w:rPr>
          <w:rFonts w:ascii="Times New Roman" w:hAnsi="Times New Roman"/>
        </w:rPr>
        <w:t>“</w:t>
      </w:r>
      <w:r>
        <w:rPr>
          <w:rFonts w:hint="eastAsia" w:ascii="Times New Roman" w:hAnsi="Times New Roman"/>
        </w:rPr>
        <w:t>去整改</w:t>
      </w:r>
      <w:r>
        <w:rPr>
          <w:rFonts w:ascii="Times New Roman" w:hAnsi="Times New Roman"/>
        </w:rPr>
        <w:t>”</w:t>
      </w:r>
      <w:r>
        <w:rPr>
          <w:rFonts w:hint="eastAsia" w:ascii="Times New Roman" w:hAnsi="Times New Roman"/>
        </w:rPr>
        <w:t>可以查看隐患详情，并进行隐患整改反馈的填报。</w:t>
      </w:r>
    </w:p>
    <w:p>
      <w:pPr>
        <w:pStyle w:val="2"/>
        <w:ind w:left="0" w:leftChars="0" w:firstLine="0" w:firstLineChars="0"/>
      </w:pPr>
      <w:r>
        <w:drawing>
          <wp:inline distT="0" distB="0" distL="0" distR="0">
            <wp:extent cx="5274310" cy="18351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5"/>
                    <a:stretch>
                      <a:fillRect/>
                    </a:stretch>
                  </pic:blipFill>
                  <pic:spPr>
                    <a:xfrm>
                      <a:off x="0" y="0"/>
                      <a:ext cx="5274310" cy="1835150"/>
                    </a:xfrm>
                    <a:prstGeom prst="rect">
                      <a:avLst/>
                    </a:prstGeom>
                  </pic:spPr>
                </pic:pic>
              </a:graphicData>
            </a:graphic>
          </wp:inline>
        </w:drawing>
      </w:r>
    </w:p>
    <w:p>
      <w:pPr>
        <w:pStyle w:val="2"/>
        <w:ind w:left="0" w:leftChars="0" w:firstLine="0" w:firstLineChars="0"/>
      </w:pPr>
      <w:r>
        <w:drawing>
          <wp:inline distT="0" distB="0" distL="0" distR="0">
            <wp:extent cx="4483100" cy="2159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a:stretch>
                      <a:fillRect/>
                    </a:stretch>
                  </pic:blipFill>
                  <pic:spPr>
                    <a:xfrm>
                      <a:off x="0" y="0"/>
                      <a:ext cx="4483100" cy="2159000"/>
                    </a:xfrm>
                    <a:prstGeom prst="rect">
                      <a:avLst/>
                    </a:prstGeom>
                  </pic:spPr>
                </pic:pic>
              </a:graphicData>
            </a:graphic>
          </wp:inline>
        </w:drawing>
      </w:r>
    </w:p>
    <w:p>
      <w:pPr>
        <w:pStyle w:val="5"/>
      </w:pPr>
      <w:bookmarkStart w:id="7" w:name="_Toc148201456"/>
      <w:r>
        <w:rPr>
          <w:rFonts w:hint="eastAsia"/>
        </w:rPr>
        <w:t>日常自查</w:t>
      </w:r>
      <w:bookmarkEnd w:id="7"/>
    </w:p>
    <w:p>
      <w:pPr>
        <w:ind w:firstLine="480"/>
      </w:pPr>
      <w:r>
        <w:rPr>
          <w:rFonts w:hint="eastAsia"/>
        </w:rPr>
        <w:t>点击我的自查，可以查看所有自查任务，选择进行中的自查任务，点击自查，进入实验室房间开始自查。自查步骤与移动端一样。</w:t>
      </w:r>
    </w:p>
    <w:p>
      <w:pPr>
        <w:pStyle w:val="2"/>
        <w:spacing w:after="0"/>
        <w:ind w:left="0" w:leftChars="0" w:firstLine="0" w:firstLineChars="0"/>
        <w:jc w:val="center"/>
        <w:rPr>
          <w:b/>
        </w:rPr>
      </w:pPr>
      <w:r>
        <w:rPr>
          <w:b/>
        </w:rPr>
        <w:drawing>
          <wp:inline distT="0" distB="0" distL="0" distR="0">
            <wp:extent cx="5274310" cy="1903730"/>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5274310" cy="1903730"/>
                    </a:xfrm>
                    <a:prstGeom prst="rect">
                      <a:avLst/>
                    </a:prstGeom>
                  </pic:spPr>
                </pic:pic>
              </a:graphicData>
            </a:graphic>
          </wp:inline>
        </w:drawing>
      </w:r>
    </w:p>
    <w:p>
      <w:pPr>
        <w:pStyle w:val="5"/>
      </w:pPr>
      <w:bookmarkStart w:id="8" w:name="_Toc148201457"/>
      <w:r>
        <w:rPr>
          <w:rFonts w:hint="eastAsia"/>
        </w:rPr>
        <w:t>达标检查</w:t>
      </w:r>
      <w:bookmarkEnd w:id="8"/>
    </w:p>
    <w:p>
      <w:pPr>
        <w:pStyle w:val="6"/>
        <w:spacing w:before="163"/>
      </w:pPr>
      <w:bookmarkStart w:id="9" w:name="_Toc148201458"/>
      <w:r>
        <w:rPr>
          <w:rFonts w:hint="eastAsia"/>
        </w:rPr>
        <w:t>自查</w:t>
      </w:r>
      <w:bookmarkEnd w:id="9"/>
    </w:p>
    <w:p>
      <w:pPr>
        <w:ind w:firstLine="480"/>
      </w:pPr>
      <w:r>
        <w:rPr>
          <w:rFonts w:hint="eastAsia"/>
        </w:rPr>
        <w:t>点击达标检查—检查活动，选择进行中的活动，点击“自查”开展实验室层面的自查，自查是按照每一类检查项进行逐条选择检查结果“合格”、“不合格”、“不适用”。选择“不合格”、“不适用”需要填写问题描述。可批量选择某一类的指标全选“全部合格”或“全部不适用”。</w:t>
      </w:r>
    </w:p>
    <w:p>
      <w:pPr>
        <w:pStyle w:val="2"/>
        <w:ind w:left="0" w:leftChars="0" w:firstLine="0" w:firstLineChars="0"/>
      </w:pPr>
      <w:r>
        <w:drawing>
          <wp:inline distT="0" distB="0" distL="0" distR="0">
            <wp:extent cx="5274310" cy="1700530"/>
            <wp:effectExtent l="0" t="0" r="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8"/>
                    <a:stretch>
                      <a:fillRect/>
                    </a:stretch>
                  </pic:blipFill>
                  <pic:spPr>
                    <a:xfrm>
                      <a:off x="0" y="0"/>
                      <a:ext cx="5274310" cy="1700530"/>
                    </a:xfrm>
                    <a:prstGeom prst="rect">
                      <a:avLst/>
                    </a:prstGeom>
                  </pic:spPr>
                </pic:pic>
              </a:graphicData>
            </a:graphic>
          </wp:inline>
        </w:drawing>
      </w:r>
    </w:p>
    <w:p>
      <w:pPr>
        <w:pStyle w:val="2"/>
        <w:ind w:left="0" w:leftChars="0" w:firstLine="0" w:firstLineChars="0"/>
      </w:pPr>
      <w:r>
        <w:drawing>
          <wp:inline distT="0" distB="0" distL="0" distR="0">
            <wp:extent cx="5274310" cy="191389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9"/>
                    <a:stretch>
                      <a:fillRect/>
                    </a:stretch>
                  </pic:blipFill>
                  <pic:spPr>
                    <a:xfrm>
                      <a:off x="0" y="0"/>
                      <a:ext cx="5274310" cy="1913890"/>
                    </a:xfrm>
                    <a:prstGeom prst="rect">
                      <a:avLst/>
                    </a:prstGeom>
                  </pic:spPr>
                </pic:pic>
              </a:graphicData>
            </a:graphic>
          </wp:inline>
        </w:drawing>
      </w:r>
    </w:p>
    <w:p>
      <w:pPr>
        <w:ind w:firstLine="480"/>
      </w:pPr>
      <w:r>
        <w:rPr>
          <w:rFonts w:hint="eastAsia"/>
        </w:rPr>
        <w:t>对于无法确认的检查，可选择点击“保存草稿”。检查结果确认无误后点击“提交至实验室负责人审批并邮件提醒”。，等待实验室负责人（安全责任人）点击提交检查后才算实验室自查完成</w:t>
      </w:r>
    </w:p>
    <w:p>
      <w:pPr>
        <w:ind w:firstLine="199" w:firstLineChars="83"/>
      </w:pPr>
      <w:r>
        <w:drawing>
          <wp:inline distT="0" distB="0" distL="0" distR="0">
            <wp:extent cx="4612640" cy="329565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0"/>
                    <a:stretch>
                      <a:fillRect/>
                    </a:stretch>
                  </pic:blipFill>
                  <pic:spPr>
                    <a:xfrm>
                      <a:off x="0" y="0"/>
                      <a:ext cx="4618035" cy="3299787"/>
                    </a:xfrm>
                    <a:prstGeom prst="rect">
                      <a:avLst/>
                    </a:prstGeom>
                  </pic:spPr>
                </pic:pic>
              </a:graphicData>
            </a:graphic>
          </wp:inline>
        </w:drawing>
      </w:r>
    </w:p>
    <w:p>
      <w:pPr>
        <w:pStyle w:val="6"/>
        <w:spacing w:before="163"/>
      </w:pPr>
      <w:bookmarkStart w:id="10" w:name="_Toc148201459"/>
      <w:r>
        <w:rPr>
          <w:rFonts w:hint="eastAsia"/>
        </w:rPr>
        <w:t>查看结果</w:t>
      </w:r>
      <w:bookmarkEnd w:id="10"/>
    </w:p>
    <w:p>
      <w:pPr>
        <w:ind w:firstLine="480"/>
      </w:pPr>
      <w:r>
        <w:rPr>
          <w:rFonts w:hint="eastAsia"/>
        </w:rPr>
        <w:t>点击查看结果，可以查看对应活动我管辖的所有实验室检查结果。可以查看自查分数、复查分数、安全文化评分、考评总分、达标结果（达标/不达标）。</w:t>
      </w:r>
    </w:p>
    <w:p>
      <w:pPr>
        <w:pStyle w:val="2"/>
        <w:ind w:left="0" w:leftChars="0" w:firstLine="0" w:firstLineChars="0"/>
      </w:pPr>
      <w:r>
        <w:drawing>
          <wp:inline distT="0" distB="0" distL="0" distR="0">
            <wp:extent cx="5274310" cy="256730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1"/>
                    <a:stretch>
                      <a:fillRect/>
                    </a:stretch>
                  </pic:blipFill>
                  <pic:spPr>
                    <a:xfrm>
                      <a:off x="0" y="0"/>
                      <a:ext cx="5274310" cy="2567305"/>
                    </a:xfrm>
                    <a:prstGeom prst="rect">
                      <a:avLst/>
                    </a:prstGeom>
                  </pic:spPr>
                </pic:pic>
              </a:graphicData>
            </a:graphic>
          </wp:inline>
        </w:drawing>
      </w:r>
    </w:p>
    <w:p>
      <w:pPr>
        <w:ind w:firstLine="480"/>
      </w:pPr>
      <w:r>
        <w:rPr>
          <w:rFonts w:hint="eastAsia"/>
        </w:rPr>
        <w:t>可以分别查看自查结果和复查结果，点击结果对比可以查看不适用项和不合格项、自查和复查有不一致的检查项。</w:t>
      </w:r>
    </w:p>
    <w:p>
      <w:pPr>
        <w:pStyle w:val="2"/>
        <w:ind w:left="0" w:leftChars="0" w:firstLine="0" w:firstLineChars="0"/>
      </w:pPr>
      <w:r>
        <w:drawing>
          <wp:inline distT="0" distB="0" distL="0" distR="0">
            <wp:extent cx="5274310" cy="1701165"/>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2"/>
                    <a:stretch>
                      <a:fillRect/>
                    </a:stretch>
                  </pic:blipFill>
                  <pic:spPr>
                    <a:xfrm>
                      <a:off x="0" y="0"/>
                      <a:ext cx="5274310" cy="1701165"/>
                    </a:xfrm>
                    <a:prstGeom prst="rect">
                      <a:avLst/>
                    </a:prstGeom>
                  </pic:spPr>
                </pic:pic>
              </a:graphicData>
            </a:graphic>
          </wp:inline>
        </w:drawing>
      </w:r>
    </w:p>
    <w:p>
      <w:pPr>
        <w:pStyle w:val="5"/>
      </w:pPr>
      <w:bookmarkStart w:id="11" w:name="_Toc148201460"/>
      <w:r>
        <w:rPr>
          <w:rFonts w:hint="eastAsia"/>
        </w:rPr>
        <w:t>安全台账</w:t>
      </w:r>
      <w:bookmarkEnd w:id="11"/>
    </w:p>
    <w:p>
      <w:pPr>
        <w:ind w:firstLine="480"/>
      </w:pPr>
      <w:r>
        <w:rPr>
          <w:rFonts w:hint="eastAsia"/>
        </w:rPr>
        <w:t>点击“安全台账”，可以查看所负责实验室的所有产生过隐患的安全台账，可以查看实验室信息、隐患描述、隐患状态等信息，点击详情可以查看活动、隐患的检查和整改详细记录。</w:t>
      </w:r>
    </w:p>
    <w:p>
      <w:pPr>
        <w:ind w:firstLine="480"/>
      </w:pPr>
      <w:r>
        <w:rPr>
          <w:rFonts w:hint="eastAsia"/>
        </w:rPr>
        <w:t>支持按照检查时间、活动名称、整改状态、房间号、实验室名称等多条件组合查询，并支持导出台账。</w:t>
      </w:r>
    </w:p>
    <w:p>
      <w:pPr>
        <w:pStyle w:val="2"/>
        <w:ind w:left="0" w:leftChars="0" w:firstLine="0" w:firstLineChars="0"/>
      </w:pPr>
      <w:r>
        <w:drawing>
          <wp:inline distT="0" distB="0" distL="0" distR="0">
            <wp:extent cx="5274310" cy="2385060"/>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3"/>
                    <a:stretch>
                      <a:fillRect/>
                    </a:stretch>
                  </pic:blipFill>
                  <pic:spPr>
                    <a:xfrm>
                      <a:off x="0" y="0"/>
                      <a:ext cx="5274310" cy="2385060"/>
                    </a:xfrm>
                    <a:prstGeom prst="rect">
                      <a:avLst/>
                    </a:prstGeom>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0"/>
      <w:cols w:space="425" w:num="1"/>
      <w:titlePg/>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Segoe UI"/>
    <w:panose1 w:val="020F0502020204030204"/>
    <w:charset w:val="00"/>
    <w:family w:val="swiss"/>
    <w:pitch w:val="default"/>
    <w:sig w:usb0="00000000" w:usb1="00000000" w:usb2="00000001" w:usb3="00000000" w:csb0="0000019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DengXian">
    <w:altName w:val="宋体"/>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028010"/>
      <w:docPartObj>
        <w:docPartGallery w:val="autotext"/>
      </w:docPartObj>
    </w:sdtPr>
    <w:sdtContent>
      <w:p>
        <w:pPr>
          <w:pStyle w:val="9"/>
          <w:ind w:firstLine="360"/>
          <w:jc w:val="center"/>
        </w:pPr>
        <w:r>
          <w:fldChar w:fldCharType="begin"/>
        </w:r>
        <w:r>
          <w:instrText xml:space="preserve">PAGE   \* MERGEFORMAT</w:instrText>
        </w:r>
        <w:r>
          <w:fldChar w:fldCharType="separate"/>
        </w:r>
        <w:r>
          <w:rPr>
            <w:lang w:val="zh-CN"/>
          </w:rPr>
          <w:t>2</w:t>
        </w:r>
        <w:r>
          <w:fldChar w:fldCharType="end"/>
        </w:r>
      </w:p>
    </w:sdtContent>
  </w:sdt>
  <w:p>
    <w:pPr>
      <w:pStyle w:val="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4AC6D66"/>
    <w:multiLevelType w:val="multilevel"/>
    <w:tmpl w:val="64AC6D66"/>
    <w:lvl w:ilvl="0" w:tentative="0">
      <w:start w:val="1"/>
      <w:numFmt w:val="decimal"/>
      <w:pStyle w:val="4"/>
      <w:lvlText w:val="%1"/>
      <w:lvlJc w:val="left"/>
      <w:pPr>
        <w:ind w:left="0" w:firstLine="0"/>
      </w:pPr>
      <w:rPr>
        <w:rFonts w:hint="eastAsia"/>
      </w:rPr>
    </w:lvl>
    <w:lvl w:ilvl="1" w:tentative="0">
      <w:start w:val="1"/>
      <w:numFmt w:val="decimal"/>
      <w:pStyle w:val="5"/>
      <w:suff w:val="space"/>
      <w:lvlText w:val="%1.%2"/>
      <w:lvlJc w:val="left"/>
      <w:pPr>
        <w:ind w:left="0" w:firstLine="0"/>
      </w:pPr>
      <w:rPr>
        <w:rFonts w:hint="eastAsia"/>
      </w:rPr>
    </w:lvl>
    <w:lvl w:ilvl="2" w:tentative="0">
      <w:start w:val="1"/>
      <w:numFmt w:val="decimal"/>
      <w:pStyle w:val="6"/>
      <w:suff w:val="space"/>
      <w:lvlText w:val="%1.%2.%3"/>
      <w:lvlJc w:val="left"/>
      <w:pPr>
        <w:ind w:left="0" w:firstLine="0"/>
      </w:pPr>
      <w:rPr>
        <w:rFonts w:hint="eastAsia"/>
      </w:rPr>
    </w:lvl>
    <w:lvl w:ilvl="3" w:tentative="0">
      <w:start w:val="1"/>
      <w:numFmt w:val="decimal"/>
      <w:pStyle w:val="7"/>
      <w:lvlText w:val="%1.%2.%3.%4"/>
      <w:lvlJc w:val="left"/>
      <w:pPr>
        <w:ind w:left="0"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ZhOTQ4MTc3ZWYzMmExY2NkODA3N2E5YzU4YTZkN2MifQ=="/>
  </w:docVars>
  <w:rsids>
    <w:rsidRoot w:val="00E91FAF"/>
    <w:rsid w:val="00003213"/>
    <w:rsid w:val="00007B00"/>
    <w:rsid w:val="00010C6F"/>
    <w:rsid w:val="00011541"/>
    <w:rsid w:val="00011F27"/>
    <w:rsid w:val="0001337E"/>
    <w:rsid w:val="000168D4"/>
    <w:rsid w:val="00022463"/>
    <w:rsid w:val="000253E8"/>
    <w:rsid w:val="000317CA"/>
    <w:rsid w:val="000321E3"/>
    <w:rsid w:val="00033BFF"/>
    <w:rsid w:val="0004041E"/>
    <w:rsid w:val="000425ED"/>
    <w:rsid w:val="00042697"/>
    <w:rsid w:val="0004421B"/>
    <w:rsid w:val="000449A8"/>
    <w:rsid w:val="00044FCA"/>
    <w:rsid w:val="000460E4"/>
    <w:rsid w:val="00057BEC"/>
    <w:rsid w:val="00060CB3"/>
    <w:rsid w:val="00062EAC"/>
    <w:rsid w:val="0006418F"/>
    <w:rsid w:val="00067EBE"/>
    <w:rsid w:val="00070BE7"/>
    <w:rsid w:val="00075F41"/>
    <w:rsid w:val="00080B78"/>
    <w:rsid w:val="0008108E"/>
    <w:rsid w:val="000810D1"/>
    <w:rsid w:val="000810EA"/>
    <w:rsid w:val="00082A1B"/>
    <w:rsid w:val="00083678"/>
    <w:rsid w:val="0008398D"/>
    <w:rsid w:val="00085621"/>
    <w:rsid w:val="0009091D"/>
    <w:rsid w:val="0009281F"/>
    <w:rsid w:val="00094322"/>
    <w:rsid w:val="000A4BED"/>
    <w:rsid w:val="000B0072"/>
    <w:rsid w:val="000B026F"/>
    <w:rsid w:val="000B0A52"/>
    <w:rsid w:val="000B4520"/>
    <w:rsid w:val="000B5A06"/>
    <w:rsid w:val="000B61FB"/>
    <w:rsid w:val="000C08EF"/>
    <w:rsid w:val="000C56AA"/>
    <w:rsid w:val="000C6510"/>
    <w:rsid w:val="000D1A89"/>
    <w:rsid w:val="000D3250"/>
    <w:rsid w:val="000D483E"/>
    <w:rsid w:val="000D772E"/>
    <w:rsid w:val="000E02D6"/>
    <w:rsid w:val="000E0868"/>
    <w:rsid w:val="000E2052"/>
    <w:rsid w:val="000E34F2"/>
    <w:rsid w:val="000E4781"/>
    <w:rsid w:val="000E65D6"/>
    <w:rsid w:val="000E65E8"/>
    <w:rsid w:val="000F51C2"/>
    <w:rsid w:val="000F523B"/>
    <w:rsid w:val="00101526"/>
    <w:rsid w:val="0010226F"/>
    <w:rsid w:val="00102571"/>
    <w:rsid w:val="00103C79"/>
    <w:rsid w:val="00104328"/>
    <w:rsid w:val="00105F11"/>
    <w:rsid w:val="00117BC1"/>
    <w:rsid w:val="001202E4"/>
    <w:rsid w:val="0012332B"/>
    <w:rsid w:val="00130F68"/>
    <w:rsid w:val="00135BF0"/>
    <w:rsid w:val="0013608D"/>
    <w:rsid w:val="001414B2"/>
    <w:rsid w:val="00143959"/>
    <w:rsid w:val="00145387"/>
    <w:rsid w:val="00146427"/>
    <w:rsid w:val="001465F0"/>
    <w:rsid w:val="001524DE"/>
    <w:rsid w:val="0015337A"/>
    <w:rsid w:val="00156654"/>
    <w:rsid w:val="00162E83"/>
    <w:rsid w:val="0016358B"/>
    <w:rsid w:val="00165076"/>
    <w:rsid w:val="001657C0"/>
    <w:rsid w:val="001658F7"/>
    <w:rsid w:val="0016773F"/>
    <w:rsid w:val="001710B2"/>
    <w:rsid w:val="00172A4D"/>
    <w:rsid w:val="001877D4"/>
    <w:rsid w:val="001927CE"/>
    <w:rsid w:val="001978C8"/>
    <w:rsid w:val="001A1ADE"/>
    <w:rsid w:val="001A4417"/>
    <w:rsid w:val="001A4B12"/>
    <w:rsid w:val="001A6AE7"/>
    <w:rsid w:val="001A75D6"/>
    <w:rsid w:val="001B0F05"/>
    <w:rsid w:val="001B183A"/>
    <w:rsid w:val="001B2FAE"/>
    <w:rsid w:val="001B56B3"/>
    <w:rsid w:val="001B617A"/>
    <w:rsid w:val="001B7783"/>
    <w:rsid w:val="001B78EC"/>
    <w:rsid w:val="001C041B"/>
    <w:rsid w:val="001C2FD8"/>
    <w:rsid w:val="001C3D6A"/>
    <w:rsid w:val="001C7A35"/>
    <w:rsid w:val="001C7BA4"/>
    <w:rsid w:val="001D0914"/>
    <w:rsid w:val="001D4625"/>
    <w:rsid w:val="001D53D1"/>
    <w:rsid w:val="001D61D4"/>
    <w:rsid w:val="001D7E95"/>
    <w:rsid w:val="001E0261"/>
    <w:rsid w:val="001E034B"/>
    <w:rsid w:val="001E28EC"/>
    <w:rsid w:val="001E335B"/>
    <w:rsid w:val="001E5F5B"/>
    <w:rsid w:val="001E6CC6"/>
    <w:rsid w:val="001E7E34"/>
    <w:rsid w:val="001F0813"/>
    <w:rsid w:val="001F0F95"/>
    <w:rsid w:val="00200879"/>
    <w:rsid w:val="00201817"/>
    <w:rsid w:val="00202FA5"/>
    <w:rsid w:val="002035B4"/>
    <w:rsid w:val="0020472F"/>
    <w:rsid w:val="00205BE5"/>
    <w:rsid w:val="00213767"/>
    <w:rsid w:val="002148BF"/>
    <w:rsid w:val="00222BA7"/>
    <w:rsid w:val="00223BE8"/>
    <w:rsid w:val="0022512E"/>
    <w:rsid w:val="002257E9"/>
    <w:rsid w:val="002261CB"/>
    <w:rsid w:val="00231152"/>
    <w:rsid w:val="00231830"/>
    <w:rsid w:val="002319E6"/>
    <w:rsid w:val="002368D5"/>
    <w:rsid w:val="00241621"/>
    <w:rsid w:val="00243448"/>
    <w:rsid w:val="00251346"/>
    <w:rsid w:val="0025195C"/>
    <w:rsid w:val="0025255A"/>
    <w:rsid w:val="002554F2"/>
    <w:rsid w:val="002558A9"/>
    <w:rsid w:val="0026087F"/>
    <w:rsid w:val="0026093E"/>
    <w:rsid w:val="00261E2B"/>
    <w:rsid w:val="00265D68"/>
    <w:rsid w:val="00270484"/>
    <w:rsid w:val="002749A6"/>
    <w:rsid w:val="00274B6D"/>
    <w:rsid w:val="00274D5B"/>
    <w:rsid w:val="0027654F"/>
    <w:rsid w:val="00277DE3"/>
    <w:rsid w:val="00283A85"/>
    <w:rsid w:val="002867B9"/>
    <w:rsid w:val="002869A7"/>
    <w:rsid w:val="0029298F"/>
    <w:rsid w:val="00295D14"/>
    <w:rsid w:val="00297B4E"/>
    <w:rsid w:val="002A1AAC"/>
    <w:rsid w:val="002A27AA"/>
    <w:rsid w:val="002A77DB"/>
    <w:rsid w:val="002A784F"/>
    <w:rsid w:val="002A7FAC"/>
    <w:rsid w:val="002B0092"/>
    <w:rsid w:val="002B16A8"/>
    <w:rsid w:val="002B312F"/>
    <w:rsid w:val="002B54C8"/>
    <w:rsid w:val="002B5F4B"/>
    <w:rsid w:val="002B74BB"/>
    <w:rsid w:val="002B7DAB"/>
    <w:rsid w:val="002C27F3"/>
    <w:rsid w:val="002C4A74"/>
    <w:rsid w:val="002C5933"/>
    <w:rsid w:val="002C5C09"/>
    <w:rsid w:val="002C632F"/>
    <w:rsid w:val="002C79B2"/>
    <w:rsid w:val="002D0602"/>
    <w:rsid w:val="002D208D"/>
    <w:rsid w:val="002D2886"/>
    <w:rsid w:val="002D3AC9"/>
    <w:rsid w:val="002D4E37"/>
    <w:rsid w:val="002D55E7"/>
    <w:rsid w:val="002E3DF1"/>
    <w:rsid w:val="002E4370"/>
    <w:rsid w:val="002F530B"/>
    <w:rsid w:val="002F5375"/>
    <w:rsid w:val="002F5CA8"/>
    <w:rsid w:val="002F6136"/>
    <w:rsid w:val="002F79F5"/>
    <w:rsid w:val="002F7ABF"/>
    <w:rsid w:val="003013D3"/>
    <w:rsid w:val="00305F4D"/>
    <w:rsid w:val="00310FA7"/>
    <w:rsid w:val="00312005"/>
    <w:rsid w:val="00314320"/>
    <w:rsid w:val="0031673C"/>
    <w:rsid w:val="00316D9D"/>
    <w:rsid w:val="00321B89"/>
    <w:rsid w:val="00321F95"/>
    <w:rsid w:val="00322795"/>
    <w:rsid w:val="0032293F"/>
    <w:rsid w:val="00324E38"/>
    <w:rsid w:val="0032744D"/>
    <w:rsid w:val="00333299"/>
    <w:rsid w:val="00333344"/>
    <w:rsid w:val="003333F1"/>
    <w:rsid w:val="00333736"/>
    <w:rsid w:val="00333764"/>
    <w:rsid w:val="00334A2D"/>
    <w:rsid w:val="00340A7D"/>
    <w:rsid w:val="00341EA6"/>
    <w:rsid w:val="003456FA"/>
    <w:rsid w:val="00347203"/>
    <w:rsid w:val="00347393"/>
    <w:rsid w:val="00351827"/>
    <w:rsid w:val="003550A9"/>
    <w:rsid w:val="00355E19"/>
    <w:rsid w:val="003642BD"/>
    <w:rsid w:val="003655E9"/>
    <w:rsid w:val="003679EC"/>
    <w:rsid w:val="0037053B"/>
    <w:rsid w:val="0037583A"/>
    <w:rsid w:val="003762EF"/>
    <w:rsid w:val="003763D2"/>
    <w:rsid w:val="00380899"/>
    <w:rsid w:val="00380A26"/>
    <w:rsid w:val="00382BFA"/>
    <w:rsid w:val="00384357"/>
    <w:rsid w:val="00385839"/>
    <w:rsid w:val="00390CAF"/>
    <w:rsid w:val="003914E2"/>
    <w:rsid w:val="00392C11"/>
    <w:rsid w:val="0039498D"/>
    <w:rsid w:val="003951BD"/>
    <w:rsid w:val="003957A7"/>
    <w:rsid w:val="003A3418"/>
    <w:rsid w:val="003A4B59"/>
    <w:rsid w:val="003A5B24"/>
    <w:rsid w:val="003A6DA8"/>
    <w:rsid w:val="003A7C49"/>
    <w:rsid w:val="003B11FC"/>
    <w:rsid w:val="003C0E8C"/>
    <w:rsid w:val="003C5F69"/>
    <w:rsid w:val="003C6BB8"/>
    <w:rsid w:val="003D045C"/>
    <w:rsid w:val="003D11F8"/>
    <w:rsid w:val="003D31AC"/>
    <w:rsid w:val="003D587D"/>
    <w:rsid w:val="003D5C12"/>
    <w:rsid w:val="003E0A36"/>
    <w:rsid w:val="003E55BB"/>
    <w:rsid w:val="003E6953"/>
    <w:rsid w:val="003F2E80"/>
    <w:rsid w:val="003F2FBC"/>
    <w:rsid w:val="003F3490"/>
    <w:rsid w:val="003F68CD"/>
    <w:rsid w:val="003F77B7"/>
    <w:rsid w:val="003F7ED5"/>
    <w:rsid w:val="004057E9"/>
    <w:rsid w:val="00410169"/>
    <w:rsid w:val="00410F4D"/>
    <w:rsid w:val="00411EEF"/>
    <w:rsid w:val="00413B80"/>
    <w:rsid w:val="00414C3B"/>
    <w:rsid w:val="0041670E"/>
    <w:rsid w:val="00416F3D"/>
    <w:rsid w:val="004173BF"/>
    <w:rsid w:val="00422B0A"/>
    <w:rsid w:val="0043007A"/>
    <w:rsid w:val="004329C3"/>
    <w:rsid w:val="00432E8B"/>
    <w:rsid w:val="0043348D"/>
    <w:rsid w:val="00434AD2"/>
    <w:rsid w:val="00434F27"/>
    <w:rsid w:val="00435896"/>
    <w:rsid w:val="00435E40"/>
    <w:rsid w:val="004360BB"/>
    <w:rsid w:val="00440C3D"/>
    <w:rsid w:val="00445FBE"/>
    <w:rsid w:val="00454C55"/>
    <w:rsid w:val="00460CCC"/>
    <w:rsid w:val="00465375"/>
    <w:rsid w:val="004658C6"/>
    <w:rsid w:val="004672EA"/>
    <w:rsid w:val="00470243"/>
    <w:rsid w:val="00470874"/>
    <w:rsid w:val="00470F47"/>
    <w:rsid w:val="004766DF"/>
    <w:rsid w:val="00480671"/>
    <w:rsid w:val="004833CE"/>
    <w:rsid w:val="00485337"/>
    <w:rsid w:val="004862CA"/>
    <w:rsid w:val="004868E7"/>
    <w:rsid w:val="00486A1F"/>
    <w:rsid w:val="004879D8"/>
    <w:rsid w:val="00493B82"/>
    <w:rsid w:val="004975F2"/>
    <w:rsid w:val="004A7CEB"/>
    <w:rsid w:val="004B05F8"/>
    <w:rsid w:val="004B23F3"/>
    <w:rsid w:val="004B2FA1"/>
    <w:rsid w:val="004B2FFC"/>
    <w:rsid w:val="004B5BD4"/>
    <w:rsid w:val="004B6FAD"/>
    <w:rsid w:val="004C0C5B"/>
    <w:rsid w:val="004C333B"/>
    <w:rsid w:val="004C7A39"/>
    <w:rsid w:val="004D09C0"/>
    <w:rsid w:val="004D2244"/>
    <w:rsid w:val="004E12E5"/>
    <w:rsid w:val="004F163F"/>
    <w:rsid w:val="004F37A1"/>
    <w:rsid w:val="004F7983"/>
    <w:rsid w:val="00502908"/>
    <w:rsid w:val="005112BB"/>
    <w:rsid w:val="005133B8"/>
    <w:rsid w:val="00513C7E"/>
    <w:rsid w:val="005152D4"/>
    <w:rsid w:val="0051573A"/>
    <w:rsid w:val="00523D3C"/>
    <w:rsid w:val="00525355"/>
    <w:rsid w:val="005257FD"/>
    <w:rsid w:val="00525DA2"/>
    <w:rsid w:val="005313CD"/>
    <w:rsid w:val="00533B5B"/>
    <w:rsid w:val="005352EA"/>
    <w:rsid w:val="00535A0A"/>
    <w:rsid w:val="0054215B"/>
    <w:rsid w:val="0054362E"/>
    <w:rsid w:val="005444C6"/>
    <w:rsid w:val="005466A9"/>
    <w:rsid w:val="0055048C"/>
    <w:rsid w:val="005513F8"/>
    <w:rsid w:val="00554FBE"/>
    <w:rsid w:val="0055500F"/>
    <w:rsid w:val="00555505"/>
    <w:rsid w:val="005620C2"/>
    <w:rsid w:val="00562373"/>
    <w:rsid w:val="00562A73"/>
    <w:rsid w:val="00563042"/>
    <w:rsid w:val="00563C1F"/>
    <w:rsid w:val="00565D34"/>
    <w:rsid w:val="0056637F"/>
    <w:rsid w:val="00575106"/>
    <w:rsid w:val="00575D05"/>
    <w:rsid w:val="00575D24"/>
    <w:rsid w:val="0057622F"/>
    <w:rsid w:val="0057663F"/>
    <w:rsid w:val="00582104"/>
    <w:rsid w:val="00582258"/>
    <w:rsid w:val="005824CA"/>
    <w:rsid w:val="00584944"/>
    <w:rsid w:val="00586C8B"/>
    <w:rsid w:val="00587C46"/>
    <w:rsid w:val="00590499"/>
    <w:rsid w:val="00591DE4"/>
    <w:rsid w:val="00592D57"/>
    <w:rsid w:val="00594D73"/>
    <w:rsid w:val="0059530D"/>
    <w:rsid w:val="00595495"/>
    <w:rsid w:val="0059634B"/>
    <w:rsid w:val="00596E25"/>
    <w:rsid w:val="0059795E"/>
    <w:rsid w:val="005A0767"/>
    <w:rsid w:val="005A1110"/>
    <w:rsid w:val="005A36A9"/>
    <w:rsid w:val="005A453E"/>
    <w:rsid w:val="005A6A41"/>
    <w:rsid w:val="005B2692"/>
    <w:rsid w:val="005B28F2"/>
    <w:rsid w:val="005B4857"/>
    <w:rsid w:val="005C0C58"/>
    <w:rsid w:val="005C21A4"/>
    <w:rsid w:val="005C2C88"/>
    <w:rsid w:val="005C4A0D"/>
    <w:rsid w:val="005D0CAC"/>
    <w:rsid w:val="005D12A2"/>
    <w:rsid w:val="005D2B2D"/>
    <w:rsid w:val="005D35FA"/>
    <w:rsid w:val="005D58B6"/>
    <w:rsid w:val="005D791D"/>
    <w:rsid w:val="005E1A4D"/>
    <w:rsid w:val="005E323A"/>
    <w:rsid w:val="005E6EB9"/>
    <w:rsid w:val="005F1A29"/>
    <w:rsid w:val="005F2A52"/>
    <w:rsid w:val="005F491A"/>
    <w:rsid w:val="005F7CB1"/>
    <w:rsid w:val="0060055E"/>
    <w:rsid w:val="0060457B"/>
    <w:rsid w:val="00605478"/>
    <w:rsid w:val="006070F8"/>
    <w:rsid w:val="00611DDA"/>
    <w:rsid w:val="00611E62"/>
    <w:rsid w:val="00612EF9"/>
    <w:rsid w:val="00614130"/>
    <w:rsid w:val="00615CB6"/>
    <w:rsid w:val="006163EF"/>
    <w:rsid w:val="0062403B"/>
    <w:rsid w:val="00624136"/>
    <w:rsid w:val="00633B1F"/>
    <w:rsid w:val="00633C44"/>
    <w:rsid w:val="00637301"/>
    <w:rsid w:val="00640FC8"/>
    <w:rsid w:val="006419D2"/>
    <w:rsid w:val="00644489"/>
    <w:rsid w:val="00645E73"/>
    <w:rsid w:val="006460A5"/>
    <w:rsid w:val="00654A63"/>
    <w:rsid w:val="00654A7E"/>
    <w:rsid w:val="006561B8"/>
    <w:rsid w:val="0066016F"/>
    <w:rsid w:val="0066067D"/>
    <w:rsid w:val="00661BF2"/>
    <w:rsid w:val="006656D9"/>
    <w:rsid w:val="00666AC9"/>
    <w:rsid w:val="00670C14"/>
    <w:rsid w:val="00672598"/>
    <w:rsid w:val="006728DD"/>
    <w:rsid w:val="00672C71"/>
    <w:rsid w:val="00672D7E"/>
    <w:rsid w:val="006732D8"/>
    <w:rsid w:val="006753DD"/>
    <w:rsid w:val="0067595E"/>
    <w:rsid w:val="0068119E"/>
    <w:rsid w:val="00691553"/>
    <w:rsid w:val="006944E3"/>
    <w:rsid w:val="00695866"/>
    <w:rsid w:val="006978C6"/>
    <w:rsid w:val="0069793A"/>
    <w:rsid w:val="006A3C80"/>
    <w:rsid w:val="006A4DBD"/>
    <w:rsid w:val="006A6747"/>
    <w:rsid w:val="006A7790"/>
    <w:rsid w:val="006B0561"/>
    <w:rsid w:val="006C3369"/>
    <w:rsid w:val="006C4E2E"/>
    <w:rsid w:val="006C536F"/>
    <w:rsid w:val="006D0C2D"/>
    <w:rsid w:val="006D2CFD"/>
    <w:rsid w:val="006D32A8"/>
    <w:rsid w:val="006D5734"/>
    <w:rsid w:val="006D5B7E"/>
    <w:rsid w:val="006D7362"/>
    <w:rsid w:val="006E0EBF"/>
    <w:rsid w:val="006E1248"/>
    <w:rsid w:val="006E1D9B"/>
    <w:rsid w:val="006E2FB3"/>
    <w:rsid w:val="006E52A4"/>
    <w:rsid w:val="006F24C1"/>
    <w:rsid w:val="006F2780"/>
    <w:rsid w:val="006F2D1A"/>
    <w:rsid w:val="006F4843"/>
    <w:rsid w:val="006F6386"/>
    <w:rsid w:val="006F75F4"/>
    <w:rsid w:val="00700B6F"/>
    <w:rsid w:val="00707524"/>
    <w:rsid w:val="0071167C"/>
    <w:rsid w:val="00712F12"/>
    <w:rsid w:val="00712F90"/>
    <w:rsid w:val="007146A8"/>
    <w:rsid w:val="007151DA"/>
    <w:rsid w:val="007217DB"/>
    <w:rsid w:val="007227C2"/>
    <w:rsid w:val="00725670"/>
    <w:rsid w:val="007262C4"/>
    <w:rsid w:val="00726444"/>
    <w:rsid w:val="00727871"/>
    <w:rsid w:val="00730DF5"/>
    <w:rsid w:val="007319D7"/>
    <w:rsid w:val="00733297"/>
    <w:rsid w:val="007364B4"/>
    <w:rsid w:val="00737175"/>
    <w:rsid w:val="007376A0"/>
    <w:rsid w:val="00740AAD"/>
    <w:rsid w:val="00743389"/>
    <w:rsid w:val="00744D3C"/>
    <w:rsid w:val="00756696"/>
    <w:rsid w:val="00757281"/>
    <w:rsid w:val="007579B1"/>
    <w:rsid w:val="0076405B"/>
    <w:rsid w:val="007642DE"/>
    <w:rsid w:val="00764908"/>
    <w:rsid w:val="00764F41"/>
    <w:rsid w:val="00766091"/>
    <w:rsid w:val="00771333"/>
    <w:rsid w:val="00771A2F"/>
    <w:rsid w:val="00774A74"/>
    <w:rsid w:val="0078048E"/>
    <w:rsid w:val="00780BE7"/>
    <w:rsid w:val="007832C9"/>
    <w:rsid w:val="0078395A"/>
    <w:rsid w:val="007875BF"/>
    <w:rsid w:val="00787683"/>
    <w:rsid w:val="00790F2F"/>
    <w:rsid w:val="00791642"/>
    <w:rsid w:val="00793862"/>
    <w:rsid w:val="007A08E2"/>
    <w:rsid w:val="007A1DB2"/>
    <w:rsid w:val="007A22FA"/>
    <w:rsid w:val="007A2624"/>
    <w:rsid w:val="007A5E0A"/>
    <w:rsid w:val="007A64F9"/>
    <w:rsid w:val="007B110D"/>
    <w:rsid w:val="007B1F15"/>
    <w:rsid w:val="007B5292"/>
    <w:rsid w:val="007B73C5"/>
    <w:rsid w:val="007C0320"/>
    <w:rsid w:val="007C1102"/>
    <w:rsid w:val="007C5EE3"/>
    <w:rsid w:val="007C6260"/>
    <w:rsid w:val="007C6F3B"/>
    <w:rsid w:val="007D1425"/>
    <w:rsid w:val="007E03FB"/>
    <w:rsid w:val="007E0A86"/>
    <w:rsid w:val="007E37DF"/>
    <w:rsid w:val="007E426D"/>
    <w:rsid w:val="007E7180"/>
    <w:rsid w:val="007F00BD"/>
    <w:rsid w:val="007F10E4"/>
    <w:rsid w:val="007F6564"/>
    <w:rsid w:val="007F7860"/>
    <w:rsid w:val="00800ECE"/>
    <w:rsid w:val="00802A88"/>
    <w:rsid w:val="008041E8"/>
    <w:rsid w:val="008044F4"/>
    <w:rsid w:val="00806608"/>
    <w:rsid w:val="00807242"/>
    <w:rsid w:val="00812D54"/>
    <w:rsid w:val="00813AF1"/>
    <w:rsid w:val="00814EC5"/>
    <w:rsid w:val="00815FF3"/>
    <w:rsid w:val="00816404"/>
    <w:rsid w:val="008235F4"/>
    <w:rsid w:val="008262E1"/>
    <w:rsid w:val="008347E1"/>
    <w:rsid w:val="00836503"/>
    <w:rsid w:val="00836B13"/>
    <w:rsid w:val="008410E0"/>
    <w:rsid w:val="00842452"/>
    <w:rsid w:val="00844175"/>
    <w:rsid w:val="00844590"/>
    <w:rsid w:val="00846F4D"/>
    <w:rsid w:val="008479DB"/>
    <w:rsid w:val="00847C1B"/>
    <w:rsid w:val="0085383A"/>
    <w:rsid w:val="00854595"/>
    <w:rsid w:val="00862B1E"/>
    <w:rsid w:val="00863AE0"/>
    <w:rsid w:val="00864965"/>
    <w:rsid w:val="008652C6"/>
    <w:rsid w:val="00867154"/>
    <w:rsid w:val="008677CB"/>
    <w:rsid w:val="00873924"/>
    <w:rsid w:val="00873FD5"/>
    <w:rsid w:val="0087429A"/>
    <w:rsid w:val="00874911"/>
    <w:rsid w:val="0087512E"/>
    <w:rsid w:val="00875CBC"/>
    <w:rsid w:val="0087652D"/>
    <w:rsid w:val="00877A74"/>
    <w:rsid w:val="008837C8"/>
    <w:rsid w:val="00883ACB"/>
    <w:rsid w:val="00891EB1"/>
    <w:rsid w:val="00892EF9"/>
    <w:rsid w:val="0089408E"/>
    <w:rsid w:val="00896A14"/>
    <w:rsid w:val="00896E80"/>
    <w:rsid w:val="008A0F33"/>
    <w:rsid w:val="008A1513"/>
    <w:rsid w:val="008A243B"/>
    <w:rsid w:val="008A54AC"/>
    <w:rsid w:val="008A7ABF"/>
    <w:rsid w:val="008A7B20"/>
    <w:rsid w:val="008A7C51"/>
    <w:rsid w:val="008A7C99"/>
    <w:rsid w:val="008B3BF1"/>
    <w:rsid w:val="008B430D"/>
    <w:rsid w:val="008C0CF4"/>
    <w:rsid w:val="008C2B18"/>
    <w:rsid w:val="008C7329"/>
    <w:rsid w:val="008D0032"/>
    <w:rsid w:val="008D1A4D"/>
    <w:rsid w:val="008D29B8"/>
    <w:rsid w:val="008D4251"/>
    <w:rsid w:val="008D4314"/>
    <w:rsid w:val="008D59E0"/>
    <w:rsid w:val="008E5AD4"/>
    <w:rsid w:val="008E5FE8"/>
    <w:rsid w:val="008E6D8A"/>
    <w:rsid w:val="008E7DF2"/>
    <w:rsid w:val="008F2D3C"/>
    <w:rsid w:val="008F2F15"/>
    <w:rsid w:val="008F30D7"/>
    <w:rsid w:val="008F50C5"/>
    <w:rsid w:val="008F6A71"/>
    <w:rsid w:val="009053EF"/>
    <w:rsid w:val="00906037"/>
    <w:rsid w:val="00907AA3"/>
    <w:rsid w:val="00912646"/>
    <w:rsid w:val="00912E64"/>
    <w:rsid w:val="00915BA1"/>
    <w:rsid w:val="00920610"/>
    <w:rsid w:val="0092291B"/>
    <w:rsid w:val="00924FBE"/>
    <w:rsid w:val="00926B11"/>
    <w:rsid w:val="0092737A"/>
    <w:rsid w:val="00932527"/>
    <w:rsid w:val="0093630A"/>
    <w:rsid w:val="00936794"/>
    <w:rsid w:val="00936C50"/>
    <w:rsid w:val="0094359F"/>
    <w:rsid w:val="00944D0E"/>
    <w:rsid w:val="00946D17"/>
    <w:rsid w:val="0095000D"/>
    <w:rsid w:val="00957E58"/>
    <w:rsid w:val="00965597"/>
    <w:rsid w:val="009657E6"/>
    <w:rsid w:val="0096628F"/>
    <w:rsid w:val="00967589"/>
    <w:rsid w:val="0096764E"/>
    <w:rsid w:val="0097252D"/>
    <w:rsid w:val="00980F63"/>
    <w:rsid w:val="0098179A"/>
    <w:rsid w:val="00982003"/>
    <w:rsid w:val="00986053"/>
    <w:rsid w:val="00992197"/>
    <w:rsid w:val="00992641"/>
    <w:rsid w:val="00994DC8"/>
    <w:rsid w:val="009968DA"/>
    <w:rsid w:val="009A1A8B"/>
    <w:rsid w:val="009A24AA"/>
    <w:rsid w:val="009A554D"/>
    <w:rsid w:val="009B05A5"/>
    <w:rsid w:val="009B0C11"/>
    <w:rsid w:val="009B5A00"/>
    <w:rsid w:val="009B665F"/>
    <w:rsid w:val="009B757F"/>
    <w:rsid w:val="009C14F9"/>
    <w:rsid w:val="009C1A06"/>
    <w:rsid w:val="009C3558"/>
    <w:rsid w:val="009C4392"/>
    <w:rsid w:val="009C50ED"/>
    <w:rsid w:val="009D2D81"/>
    <w:rsid w:val="009D3EE5"/>
    <w:rsid w:val="009D4080"/>
    <w:rsid w:val="009D4631"/>
    <w:rsid w:val="009D4E49"/>
    <w:rsid w:val="009D6DB1"/>
    <w:rsid w:val="009D75AE"/>
    <w:rsid w:val="009D78B2"/>
    <w:rsid w:val="009E118D"/>
    <w:rsid w:val="009E2DAB"/>
    <w:rsid w:val="009E6CF4"/>
    <w:rsid w:val="009F124C"/>
    <w:rsid w:val="009F4A09"/>
    <w:rsid w:val="009F6D71"/>
    <w:rsid w:val="00A027EF"/>
    <w:rsid w:val="00A031FE"/>
    <w:rsid w:val="00A03619"/>
    <w:rsid w:val="00A051A7"/>
    <w:rsid w:val="00A055E6"/>
    <w:rsid w:val="00A05D78"/>
    <w:rsid w:val="00A05FD2"/>
    <w:rsid w:val="00A065F7"/>
    <w:rsid w:val="00A07B79"/>
    <w:rsid w:val="00A07CAB"/>
    <w:rsid w:val="00A1072B"/>
    <w:rsid w:val="00A10ECD"/>
    <w:rsid w:val="00A117D1"/>
    <w:rsid w:val="00A117E0"/>
    <w:rsid w:val="00A12155"/>
    <w:rsid w:val="00A12184"/>
    <w:rsid w:val="00A1374A"/>
    <w:rsid w:val="00A1393A"/>
    <w:rsid w:val="00A14812"/>
    <w:rsid w:val="00A21582"/>
    <w:rsid w:val="00A222E7"/>
    <w:rsid w:val="00A236FC"/>
    <w:rsid w:val="00A25B5A"/>
    <w:rsid w:val="00A27D26"/>
    <w:rsid w:val="00A32D88"/>
    <w:rsid w:val="00A34A8A"/>
    <w:rsid w:val="00A3726D"/>
    <w:rsid w:val="00A41300"/>
    <w:rsid w:val="00A42B6F"/>
    <w:rsid w:val="00A443DA"/>
    <w:rsid w:val="00A45588"/>
    <w:rsid w:val="00A52A61"/>
    <w:rsid w:val="00A52B7D"/>
    <w:rsid w:val="00A6015B"/>
    <w:rsid w:val="00A6052D"/>
    <w:rsid w:val="00A63239"/>
    <w:rsid w:val="00A63EB5"/>
    <w:rsid w:val="00A64B7C"/>
    <w:rsid w:val="00A6651A"/>
    <w:rsid w:val="00A67BC8"/>
    <w:rsid w:val="00A700E6"/>
    <w:rsid w:val="00A77DE9"/>
    <w:rsid w:val="00A82BD1"/>
    <w:rsid w:val="00A83DBC"/>
    <w:rsid w:val="00A929B6"/>
    <w:rsid w:val="00A94398"/>
    <w:rsid w:val="00AA2C8D"/>
    <w:rsid w:val="00AA5A2E"/>
    <w:rsid w:val="00AA607A"/>
    <w:rsid w:val="00AA77F3"/>
    <w:rsid w:val="00AB17DF"/>
    <w:rsid w:val="00AB50ED"/>
    <w:rsid w:val="00AB5349"/>
    <w:rsid w:val="00AB651E"/>
    <w:rsid w:val="00AB65D2"/>
    <w:rsid w:val="00AB7E5F"/>
    <w:rsid w:val="00AC0D94"/>
    <w:rsid w:val="00AC29FB"/>
    <w:rsid w:val="00AD2A3B"/>
    <w:rsid w:val="00AD384E"/>
    <w:rsid w:val="00AD5B33"/>
    <w:rsid w:val="00AE54AC"/>
    <w:rsid w:val="00AF0D4C"/>
    <w:rsid w:val="00AF2EFF"/>
    <w:rsid w:val="00AF54E3"/>
    <w:rsid w:val="00AF5C54"/>
    <w:rsid w:val="00B009F5"/>
    <w:rsid w:val="00B00A45"/>
    <w:rsid w:val="00B059C7"/>
    <w:rsid w:val="00B070A6"/>
    <w:rsid w:val="00B072B5"/>
    <w:rsid w:val="00B07DC7"/>
    <w:rsid w:val="00B07EB0"/>
    <w:rsid w:val="00B102A9"/>
    <w:rsid w:val="00B11079"/>
    <w:rsid w:val="00B11EAF"/>
    <w:rsid w:val="00B15265"/>
    <w:rsid w:val="00B15DBD"/>
    <w:rsid w:val="00B211AF"/>
    <w:rsid w:val="00B22241"/>
    <w:rsid w:val="00B25B99"/>
    <w:rsid w:val="00B2728C"/>
    <w:rsid w:val="00B27813"/>
    <w:rsid w:val="00B30262"/>
    <w:rsid w:val="00B30634"/>
    <w:rsid w:val="00B36A85"/>
    <w:rsid w:val="00B36BA4"/>
    <w:rsid w:val="00B4045A"/>
    <w:rsid w:val="00B44BBE"/>
    <w:rsid w:val="00B4611D"/>
    <w:rsid w:val="00B51CF9"/>
    <w:rsid w:val="00B5331B"/>
    <w:rsid w:val="00B54E80"/>
    <w:rsid w:val="00B561E1"/>
    <w:rsid w:val="00B57F62"/>
    <w:rsid w:val="00B62AFB"/>
    <w:rsid w:val="00B63B6B"/>
    <w:rsid w:val="00B65DA8"/>
    <w:rsid w:val="00B67669"/>
    <w:rsid w:val="00B71D8F"/>
    <w:rsid w:val="00B71E7D"/>
    <w:rsid w:val="00B73063"/>
    <w:rsid w:val="00B74C01"/>
    <w:rsid w:val="00B74EA1"/>
    <w:rsid w:val="00B756A1"/>
    <w:rsid w:val="00B774B2"/>
    <w:rsid w:val="00B8086E"/>
    <w:rsid w:val="00B81739"/>
    <w:rsid w:val="00B833A3"/>
    <w:rsid w:val="00B855CA"/>
    <w:rsid w:val="00B933AA"/>
    <w:rsid w:val="00B936F6"/>
    <w:rsid w:val="00B95087"/>
    <w:rsid w:val="00B96859"/>
    <w:rsid w:val="00BA4EB5"/>
    <w:rsid w:val="00BA55FB"/>
    <w:rsid w:val="00BA65F6"/>
    <w:rsid w:val="00BB07A5"/>
    <w:rsid w:val="00BB3C7A"/>
    <w:rsid w:val="00BB41D5"/>
    <w:rsid w:val="00BC29A9"/>
    <w:rsid w:val="00BC43CD"/>
    <w:rsid w:val="00BC539F"/>
    <w:rsid w:val="00BC732F"/>
    <w:rsid w:val="00BD3AF1"/>
    <w:rsid w:val="00BE114F"/>
    <w:rsid w:val="00BE473E"/>
    <w:rsid w:val="00BF22EC"/>
    <w:rsid w:val="00BF4839"/>
    <w:rsid w:val="00BF6E52"/>
    <w:rsid w:val="00C01A31"/>
    <w:rsid w:val="00C0265D"/>
    <w:rsid w:val="00C042D6"/>
    <w:rsid w:val="00C0454C"/>
    <w:rsid w:val="00C06A52"/>
    <w:rsid w:val="00C07981"/>
    <w:rsid w:val="00C10FF2"/>
    <w:rsid w:val="00C11F04"/>
    <w:rsid w:val="00C13F53"/>
    <w:rsid w:val="00C15304"/>
    <w:rsid w:val="00C2335A"/>
    <w:rsid w:val="00C23A91"/>
    <w:rsid w:val="00C23C6B"/>
    <w:rsid w:val="00C2422C"/>
    <w:rsid w:val="00C26B1A"/>
    <w:rsid w:val="00C26DF3"/>
    <w:rsid w:val="00C31372"/>
    <w:rsid w:val="00C3246A"/>
    <w:rsid w:val="00C35DDA"/>
    <w:rsid w:val="00C37CFA"/>
    <w:rsid w:val="00C434E7"/>
    <w:rsid w:val="00C45446"/>
    <w:rsid w:val="00C50FBC"/>
    <w:rsid w:val="00C52595"/>
    <w:rsid w:val="00C56DA5"/>
    <w:rsid w:val="00C61293"/>
    <w:rsid w:val="00C62BD3"/>
    <w:rsid w:val="00C6300E"/>
    <w:rsid w:val="00C6333A"/>
    <w:rsid w:val="00C668D2"/>
    <w:rsid w:val="00C66B37"/>
    <w:rsid w:val="00C66B52"/>
    <w:rsid w:val="00C704D2"/>
    <w:rsid w:val="00C70579"/>
    <w:rsid w:val="00C75055"/>
    <w:rsid w:val="00C77357"/>
    <w:rsid w:val="00C81830"/>
    <w:rsid w:val="00C835E3"/>
    <w:rsid w:val="00C868E4"/>
    <w:rsid w:val="00C903C4"/>
    <w:rsid w:val="00C91A11"/>
    <w:rsid w:val="00C91CB1"/>
    <w:rsid w:val="00C95370"/>
    <w:rsid w:val="00C957A7"/>
    <w:rsid w:val="00C96F29"/>
    <w:rsid w:val="00CA007F"/>
    <w:rsid w:val="00CA2B84"/>
    <w:rsid w:val="00CA30EE"/>
    <w:rsid w:val="00CA49C7"/>
    <w:rsid w:val="00CA546D"/>
    <w:rsid w:val="00CA62A7"/>
    <w:rsid w:val="00CA71BE"/>
    <w:rsid w:val="00CA78BE"/>
    <w:rsid w:val="00CB2A80"/>
    <w:rsid w:val="00CB32F6"/>
    <w:rsid w:val="00CB4646"/>
    <w:rsid w:val="00CC12AA"/>
    <w:rsid w:val="00CC2553"/>
    <w:rsid w:val="00CC3F64"/>
    <w:rsid w:val="00CD31CF"/>
    <w:rsid w:val="00CD485A"/>
    <w:rsid w:val="00CD781A"/>
    <w:rsid w:val="00CE05FD"/>
    <w:rsid w:val="00CE59F5"/>
    <w:rsid w:val="00CE7F87"/>
    <w:rsid w:val="00CF33CA"/>
    <w:rsid w:val="00CF4688"/>
    <w:rsid w:val="00CF4E55"/>
    <w:rsid w:val="00CF532D"/>
    <w:rsid w:val="00CF6CBB"/>
    <w:rsid w:val="00CF72D8"/>
    <w:rsid w:val="00CF797D"/>
    <w:rsid w:val="00D0112E"/>
    <w:rsid w:val="00D027CA"/>
    <w:rsid w:val="00D0369E"/>
    <w:rsid w:val="00D047A6"/>
    <w:rsid w:val="00D053D4"/>
    <w:rsid w:val="00D13E92"/>
    <w:rsid w:val="00D20883"/>
    <w:rsid w:val="00D21EAF"/>
    <w:rsid w:val="00D31171"/>
    <w:rsid w:val="00D340C5"/>
    <w:rsid w:val="00D35895"/>
    <w:rsid w:val="00D37C88"/>
    <w:rsid w:val="00D4064C"/>
    <w:rsid w:val="00D41E7A"/>
    <w:rsid w:val="00D4423E"/>
    <w:rsid w:val="00D44264"/>
    <w:rsid w:val="00D44270"/>
    <w:rsid w:val="00D46B42"/>
    <w:rsid w:val="00D50FA7"/>
    <w:rsid w:val="00D70A71"/>
    <w:rsid w:val="00D72140"/>
    <w:rsid w:val="00D72818"/>
    <w:rsid w:val="00D761FA"/>
    <w:rsid w:val="00D774EB"/>
    <w:rsid w:val="00D77A1B"/>
    <w:rsid w:val="00D80ED8"/>
    <w:rsid w:val="00D81CEC"/>
    <w:rsid w:val="00D82609"/>
    <w:rsid w:val="00D82C4A"/>
    <w:rsid w:val="00D8786C"/>
    <w:rsid w:val="00D87BDD"/>
    <w:rsid w:val="00D90156"/>
    <w:rsid w:val="00D9015C"/>
    <w:rsid w:val="00D92EBF"/>
    <w:rsid w:val="00D931E4"/>
    <w:rsid w:val="00D93517"/>
    <w:rsid w:val="00D94036"/>
    <w:rsid w:val="00D94232"/>
    <w:rsid w:val="00D967C7"/>
    <w:rsid w:val="00D978BA"/>
    <w:rsid w:val="00D978F7"/>
    <w:rsid w:val="00DA04B8"/>
    <w:rsid w:val="00DA0766"/>
    <w:rsid w:val="00DA16BE"/>
    <w:rsid w:val="00DA21D8"/>
    <w:rsid w:val="00DA7930"/>
    <w:rsid w:val="00DB23C3"/>
    <w:rsid w:val="00DB2C8B"/>
    <w:rsid w:val="00DB4AE9"/>
    <w:rsid w:val="00DC0ED3"/>
    <w:rsid w:val="00DC2393"/>
    <w:rsid w:val="00DC590A"/>
    <w:rsid w:val="00DC6B07"/>
    <w:rsid w:val="00DD22FA"/>
    <w:rsid w:val="00DD26DE"/>
    <w:rsid w:val="00DE3183"/>
    <w:rsid w:val="00DE44FA"/>
    <w:rsid w:val="00DE7416"/>
    <w:rsid w:val="00DE7763"/>
    <w:rsid w:val="00DE7D67"/>
    <w:rsid w:val="00DF12B8"/>
    <w:rsid w:val="00DF1DE4"/>
    <w:rsid w:val="00E05295"/>
    <w:rsid w:val="00E05729"/>
    <w:rsid w:val="00E06310"/>
    <w:rsid w:val="00E07CDE"/>
    <w:rsid w:val="00E11D65"/>
    <w:rsid w:val="00E13F54"/>
    <w:rsid w:val="00E16977"/>
    <w:rsid w:val="00E2006B"/>
    <w:rsid w:val="00E20F6B"/>
    <w:rsid w:val="00E2280F"/>
    <w:rsid w:val="00E22D44"/>
    <w:rsid w:val="00E23275"/>
    <w:rsid w:val="00E23C98"/>
    <w:rsid w:val="00E3232F"/>
    <w:rsid w:val="00E3288D"/>
    <w:rsid w:val="00E40F6A"/>
    <w:rsid w:val="00E41ED7"/>
    <w:rsid w:val="00E45EE0"/>
    <w:rsid w:val="00E46D6B"/>
    <w:rsid w:val="00E50254"/>
    <w:rsid w:val="00E518F2"/>
    <w:rsid w:val="00E571AF"/>
    <w:rsid w:val="00E601CC"/>
    <w:rsid w:val="00E63E76"/>
    <w:rsid w:val="00E64DE5"/>
    <w:rsid w:val="00E70844"/>
    <w:rsid w:val="00E7363A"/>
    <w:rsid w:val="00E75AAF"/>
    <w:rsid w:val="00E75CA9"/>
    <w:rsid w:val="00E7704D"/>
    <w:rsid w:val="00E854CE"/>
    <w:rsid w:val="00E91FAF"/>
    <w:rsid w:val="00E923BB"/>
    <w:rsid w:val="00E93B44"/>
    <w:rsid w:val="00E94A64"/>
    <w:rsid w:val="00E9671A"/>
    <w:rsid w:val="00EA282C"/>
    <w:rsid w:val="00EA3D0B"/>
    <w:rsid w:val="00EA4C0B"/>
    <w:rsid w:val="00EA61EA"/>
    <w:rsid w:val="00EB0DEA"/>
    <w:rsid w:val="00EB2CE9"/>
    <w:rsid w:val="00EB4618"/>
    <w:rsid w:val="00EB5125"/>
    <w:rsid w:val="00EB5D99"/>
    <w:rsid w:val="00EC015B"/>
    <w:rsid w:val="00EC0DE4"/>
    <w:rsid w:val="00EC2280"/>
    <w:rsid w:val="00EC3713"/>
    <w:rsid w:val="00EC3B30"/>
    <w:rsid w:val="00EC4B93"/>
    <w:rsid w:val="00EC650F"/>
    <w:rsid w:val="00ED2FEA"/>
    <w:rsid w:val="00ED4E17"/>
    <w:rsid w:val="00ED5031"/>
    <w:rsid w:val="00ED6689"/>
    <w:rsid w:val="00EE4040"/>
    <w:rsid w:val="00EE4B2B"/>
    <w:rsid w:val="00EE5065"/>
    <w:rsid w:val="00EE53CB"/>
    <w:rsid w:val="00EE63DB"/>
    <w:rsid w:val="00EE6994"/>
    <w:rsid w:val="00EF097F"/>
    <w:rsid w:val="00EF0D9C"/>
    <w:rsid w:val="00EF0FD6"/>
    <w:rsid w:val="00EF1613"/>
    <w:rsid w:val="00EF2BCA"/>
    <w:rsid w:val="00EF3888"/>
    <w:rsid w:val="00EF47FE"/>
    <w:rsid w:val="00F01621"/>
    <w:rsid w:val="00F02EE2"/>
    <w:rsid w:val="00F02F79"/>
    <w:rsid w:val="00F05ACC"/>
    <w:rsid w:val="00F06FDA"/>
    <w:rsid w:val="00F11B69"/>
    <w:rsid w:val="00F14AC7"/>
    <w:rsid w:val="00F14D54"/>
    <w:rsid w:val="00F2331F"/>
    <w:rsid w:val="00F2358A"/>
    <w:rsid w:val="00F30C2A"/>
    <w:rsid w:val="00F30F03"/>
    <w:rsid w:val="00F31EBF"/>
    <w:rsid w:val="00F34B25"/>
    <w:rsid w:val="00F34ECD"/>
    <w:rsid w:val="00F360AE"/>
    <w:rsid w:val="00F37000"/>
    <w:rsid w:val="00F37213"/>
    <w:rsid w:val="00F40A7B"/>
    <w:rsid w:val="00F41B06"/>
    <w:rsid w:val="00F44BA6"/>
    <w:rsid w:val="00F462E0"/>
    <w:rsid w:val="00F50649"/>
    <w:rsid w:val="00F55987"/>
    <w:rsid w:val="00F60062"/>
    <w:rsid w:val="00F64848"/>
    <w:rsid w:val="00F65D35"/>
    <w:rsid w:val="00F76DBF"/>
    <w:rsid w:val="00F77D5A"/>
    <w:rsid w:val="00F824F0"/>
    <w:rsid w:val="00F83B06"/>
    <w:rsid w:val="00F84B17"/>
    <w:rsid w:val="00F84F8B"/>
    <w:rsid w:val="00F8678E"/>
    <w:rsid w:val="00F9300E"/>
    <w:rsid w:val="00F93A55"/>
    <w:rsid w:val="00F95060"/>
    <w:rsid w:val="00FA2259"/>
    <w:rsid w:val="00FA59E0"/>
    <w:rsid w:val="00FB0312"/>
    <w:rsid w:val="00FB43DA"/>
    <w:rsid w:val="00FB55E9"/>
    <w:rsid w:val="00FB70AD"/>
    <w:rsid w:val="00FC5A0A"/>
    <w:rsid w:val="00FC6C38"/>
    <w:rsid w:val="00FC79E2"/>
    <w:rsid w:val="00FD1C47"/>
    <w:rsid w:val="00FD4063"/>
    <w:rsid w:val="00FD5712"/>
    <w:rsid w:val="00FE0BEB"/>
    <w:rsid w:val="00FE13F6"/>
    <w:rsid w:val="00FE77C3"/>
    <w:rsid w:val="00FF019C"/>
    <w:rsid w:val="00FF11E9"/>
    <w:rsid w:val="00FF66EE"/>
    <w:rsid w:val="00FF6A8D"/>
    <w:rsid w:val="02815A8E"/>
    <w:rsid w:val="07CF473E"/>
    <w:rsid w:val="0DFD1EF7"/>
    <w:rsid w:val="20681D8D"/>
    <w:rsid w:val="249C7C7F"/>
    <w:rsid w:val="2E0D0D36"/>
    <w:rsid w:val="33606461"/>
    <w:rsid w:val="336E0630"/>
    <w:rsid w:val="48615611"/>
    <w:rsid w:val="4A455009"/>
    <w:rsid w:val="4CDD5300"/>
    <w:rsid w:val="553C6EB8"/>
    <w:rsid w:val="56F459EC"/>
    <w:rsid w:val="624527F1"/>
    <w:rsid w:val="625A4AF3"/>
    <w:rsid w:val="67AA74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Calibri" w:hAnsi="Calibri" w:eastAsia="宋体" w:cs="Times New Roman"/>
      <w:kern w:val="2"/>
      <w:sz w:val="24"/>
      <w:szCs w:val="24"/>
      <w:lang w:val="en-US" w:eastAsia="zh-CN" w:bidi="ar-SA"/>
    </w:rPr>
  </w:style>
  <w:style w:type="paragraph" w:styleId="4">
    <w:name w:val="heading 1"/>
    <w:basedOn w:val="1"/>
    <w:next w:val="1"/>
    <w:link w:val="18"/>
    <w:qFormat/>
    <w:uiPriority w:val="9"/>
    <w:pPr>
      <w:numPr>
        <w:ilvl w:val="0"/>
        <w:numId w:val="1"/>
      </w:numPr>
      <w:ind w:firstLineChars="0"/>
      <w:contextualSpacing/>
      <w:outlineLvl w:val="0"/>
    </w:pPr>
    <w:rPr>
      <w:rFonts w:ascii="宋体" w:hAnsi="宋体" w:cstheme="minorBidi"/>
      <w:b/>
      <w:smallCaps/>
      <w:spacing w:val="5"/>
      <w:sz w:val="32"/>
      <w:szCs w:val="32"/>
    </w:rPr>
  </w:style>
  <w:style w:type="paragraph" w:styleId="5">
    <w:name w:val="heading 2"/>
    <w:basedOn w:val="1"/>
    <w:next w:val="1"/>
    <w:link w:val="19"/>
    <w:unhideWhenUsed/>
    <w:qFormat/>
    <w:uiPriority w:val="9"/>
    <w:pPr>
      <w:numPr>
        <w:ilvl w:val="1"/>
        <w:numId w:val="1"/>
      </w:numPr>
      <w:ind w:firstLineChars="0"/>
      <w:outlineLvl w:val="1"/>
    </w:pPr>
    <w:rPr>
      <w:rFonts w:ascii="宋体" w:hAnsi="宋体" w:eastAsiaTheme="minorEastAsia" w:cstheme="minorBidi"/>
      <w:b/>
      <w:smallCaps/>
      <w:sz w:val="28"/>
    </w:rPr>
  </w:style>
  <w:style w:type="paragraph" w:styleId="6">
    <w:name w:val="heading 3"/>
    <w:basedOn w:val="1"/>
    <w:next w:val="1"/>
    <w:link w:val="20"/>
    <w:unhideWhenUsed/>
    <w:qFormat/>
    <w:uiPriority w:val="9"/>
    <w:pPr>
      <w:numPr>
        <w:ilvl w:val="2"/>
        <w:numId w:val="1"/>
      </w:numPr>
      <w:snapToGrid w:val="0"/>
      <w:spacing w:before="156" w:beforeLines="50"/>
      <w:ind w:firstLineChars="0"/>
      <w:outlineLvl w:val="2"/>
    </w:pPr>
    <w:rPr>
      <w:rFonts w:ascii="宋体" w:hAnsi="宋体" w:cstheme="minorBidi"/>
      <w:b/>
      <w:iCs/>
      <w:smallCaps/>
      <w:spacing w:val="5"/>
    </w:rPr>
  </w:style>
  <w:style w:type="paragraph" w:styleId="7">
    <w:name w:val="heading 4"/>
    <w:basedOn w:val="1"/>
    <w:next w:val="1"/>
    <w:link w:val="21"/>
    <w:unhideWhenUsed/>
    <w:qFormat/>
    <w:uiPriority w:val="9"/>
    <w:pPr>
      <w:numPr>
        <w:ilvl w:val="3"/>
        <w:numId w:val="1"/>
      </w:numPr>
      <w:ind w:firstLineChars="0"/>
      <w:outlineLvl w:val="3"/>
    </w:pPr>
    <w:rPr>
      <w:rFonts w:asciiTheme="minorHAnsi" w:hAnsiTheme="minorHAnsi" w:eastAsiaTheme="minorEastAsia" w:cstheme="minorBidi"/>
      <w:b/>
      <w:bCs/>
      <w:spacing w:val="5"/>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link w:val="23"/>
    <w:unhideWhenUsed/>
    <w:qFormat/>
    <w:uiPriority w:val="99"/>
    <w:pPr>
      <w:ind w:firstLine="420"/>
    </w:pPr>
  </w:style>
  <w:style w:type="paragraph" w:styleId="3">
    <w:name w:val="Body Text Indent"/>
    <w:basedOn w:val="1"/>
    <w:link w:val="22"/>
    <w:semiHidden/>
    <w:unhideWhenUsed/>
    <w:qFormat/>
    <w:uiPriority w:val="99"/>
    <w:pPr>
      <w:spacing w:after="120"/>
      <w:ind w:left="420" w:leftChars="200"/>
    </w:pPr>
  </w:style>
  <w:style w:type="paragraph" w:styleId="8">
    <w:name w:val="toc 3"/>
    <w:basedOn w:val="1"/>
    <w:next w:val="1"/>
    <w:unhideWhenUsed/>
    <w:uiPriority w:val="39"/>
    <w:pPr>
      <w:ind w:left="840" w:leftChars="400"/>
    </w:pPr>
  </w:style>
  <w:style w:type="paragraph" w:styleId="9">
    <w:name w:val="footer"/>
    <w:basedOn w:val="1"/>
    <w:link w:val="17"/>
    <w:unhideWhenUsed/>
    <w:uiPriority w:val="99"/>
    <w:pPr>
      <w:tabs>
        <w:tab w:val="center" w:pos="4153"/>
        <w:tab w:val="right" w:pos="8306"/>
      </w:tabs>
      <w:snapToGrid w:val="0"/>
      <w:jc w:val="left"/>
    </w:pPr>
    <w:rPr>
      <w:sz w:val="18"/>
      <w:szCs w:val="18"/>
    </w:rPr>
  </w:style>
  <w:style w:type="paragraph" w:styleId="10">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2"/>
    <w:basedOn w:val="1"/>
    <w:next w:val="1"/>
    <w:unhideWhenUsed/>
    <w:qFormat/>
    <w:uiPriority w:val="39"/>
    <w:pPr>
      <w:ind w:left="420" w:leftChars="200"/>
    </w:p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customStyle="1" w:styleId="16">
    <w:name w:val="页眉 字符"/>
    <w:basedOn w:val="14"/>
    <w:link w:val="10"/>
    <w:qFormat/>
    <w:uiPriority w:val="99"/>
    <w:rPr>
      <w:sz w:val="18"/>
      <w:szCs w:val="18"/>
    </w:rPr>
  </w:style>
  <w:style w:type="character" w:customStyle="1" w:styleId="17">
    <w:name w:val="页脚 字符"/>
    <w:basedOn w:val="14"/>
    <w:link w:val="9"/>
    <w:qFormat/>
    <w:uiPriority w:val="99"/>
    <w:rPr>
      <w:sz w:val="18"/>
      <w:szCs w:val="18"/>
    </w:rPr>
  </w:style>
  <w:style w:type="character" w:customStyle="1" w:styleId="18">
    <w:name w:val="标题 1 字符"/>
    <w:basedOn w:val="14"/>
    <w:link w:val="4"/>
    <w:uiPriority w:val="9"/>
    <w:rPr>
      <w:rFonts w:ascii="宋体" w:hAnsi="宋体" w:eastAsia="宋体"/>
      <w:b/>
      <w:smallCaps/>
      <w:spacing w:val="5"/>
      <w:sz w:val="32"/>
      <w:szCs w:val="32"/>
    </w:rPr>
  </w:style>
  <w:style w:type="character" w:customStyle="1" w:styleId="19">
    <w:name w:val="标题 2 字符"/>
    <w:basedOn w:val="14"/>
    <w:link w:val="5"/>
    <w:qFormat/>
    <w:uiPriority w:val="9"/>
    <w:rPr>
      <w:rFonts w:ascii="宋体" w:hAnsi="宋体"/>
      <w:b/>
      <w:smallCaps/>
      <w:sz w:val="28"/>
      <w:szCs w:val="24"/>
    </w:rPr>
  </w:style>
  <w:style w:type="character" w:customStyle="1" w:styleId="20">
    <w:name w:val="标题 3 字符"/>
    <w:basedOn w:val="14"/>
    <w:link w:val="6"/>
    <w:qFormat/>
    <w:uiPriority w:val="9"/>
    <w:rPr>
      <w:rFonts w:ascii="宋体" w:hAnsi="宋体" w:eastAsia="宋体"/>
      <w:b/>
      <w:iCs/>
      <w:smallCaps/>
      <w:spacing w:val="5"/>
      <w:sz w:val="24"/>
      <w:szCs w:val="24"/>
    </w:rPr>
  </w:style>
  <w:style w:type="character" w:customStyle="1" w:styleId="21">
    <w:name w:val="标题 4 字符"/>
    <w:basedOn w:val="14"/>
    <w:link w:val="7"/>
    <w:qFormat/>
    <w:uiPriority w:val="9"/>
    <w:rPr>
      <w:b/>
      <w:bCs/>
      <w:spacing w:val="5"/>
      <w:sz w:val="24"/>
      <w:szCs w:val="24"/>
    </w:rPr>
  </w:style>
  <w:style w:type="character" w:customStyle="1" w:styleId="22">
    <w:name w:val="正文文本缩进 字符"/>
    <w:basedOn w:val="14"/>
    <w:link w:val="3"/>
    <w:semiHidden/>
    <w:qFormat/>
    <w:uiPriority w:val="99"/>
    <w:rPr>
      <w:rFonts w:ascii="Calibri" w:hAnsi="Calibri" w:eastAsia="宋体" w:cs="Times New Roman"/>
      <w:sz w:val="24"/>
      <w:szCs w:val="24"/>
    </w:rPr>
  </w:style>
  <w:style w:type="character" w:customStyle="1" w:styleId="23">
    <w:name w:val="正文文本首行缩进 2 字符"/>
    <w:basedOn w:val="22"/>
    <w:link w:val="2"/>
    <w:qFormat/>
    <w:uiPriority w:val="99"/>
    <w:rPr>
      <w:rFonts w:ascii="Calibri" w:hAnsi="Calibri" w:eastAsia="宋体" w:cs="Times New Roman"/>
      <w:sz w:val="24"/>
      <w:szCs w:val="24"/>
    </w:rPr>
  </w:style>
  <w:style w:type="paragraph" w:styleId="24">
    <w:name w:val="No Spacing"/>
    <w:link w:val="25"/>
    <w:qFormat/>
    <w:uiPriority w:val="1"/>
    <w:rPr>
      <w:rFonts w:asciiTheme="minorHAnsi" w:hAnsiTheme="minorHAnsi" w:eastAsiaTheme="minorEastAsia" w:cstheme="minorBidi"/>
      <w:sz w:val="22"/>
      <w:szCs w:val="22"/>
      <w:lang w:val="en-US" w:eastAsia="zh-CN" w:bidi="ar-SA"/>
    </w:rPr>
  </w:style>
  <w:style w:type="character" w:customStyle="1" w:styleId="25">
    <w:name w:val="无间隔 字符"/>
    <w:basedOn w:val="14"/>
    <w:link w:val="24"/>
    <w:qFormat/>
    <w:uiPriority w:val="1"/>
    <w:rPr>
      <w:kern w:val="0"/>
      <w:sz w:val="22"/>
    </w:rPr>
  </w:style>
  <w:style w:type="paragraph" w:styleId="26">
    <w:name w:val="List Paragraph"/>
    <w:basedOn w:val="1"/>
    <w:qFormat/>
    <w:uiPriority w:val="34"/>
    <w:pPr>
      <w:ind w:firstLine="420"/>
    </w:pPr>
  </w:style>
  <w:style w:type="paragraph" w:customStyle="1" w:styleId="27">
    <w:name w:val="TOC 标题1"/>
    <w:basedOn w:val="4"/>
    <w:next w:val="1"/>
    <w:unhideWhenUsed/>
    <w:qFormat/>
    <w:uiPriority w:val="39"/>
    <w:pPr>
      <w:keepNext/>
      <w:keepLines/>
      <w:widowControl/>
      <w:numPr>
        <w:numId w:val="0"/>
      </w:numPr>
      <w:spacing w:before="240" w:line="259" w:lineRule="auto"/>
      <w:contextualSpacing w:val="0"/>
      <w:jc w:val="left"/>
      <w:outlineLvl w:val="9"/>
    </w:pPr>
    <w:rPr>
      <w:rFonts w:asciiTheme="majorHAnsi" w:hAnsiTheme="majorHAnsi" w:eastAsiaTheme="majorEastAsia" w:cstheme="majorBidi"/>
      <w:b w:val="0"/>
      <w:smallCaps w:val="0"/>
      <w:color w:val="2E75B6" w:themeColor="accent1" w:themeShade="BF"/>
      <w:spacing w:val="0"/>
      <w:kern w:val="0"/>
    </w:rPr>
  </w:style>
  <w:style w:type="character" w:customStyle="1" w:styleId="28">
    <w:name w:val="未处理的提及1"/>
    <w:basedOn w:val="14"/>
    <w:semiHidden/>
    <w:unhideWhenUsed/>
    <w:uiPriority w:val="99"/>
    <w:rPr>
      <w:color w:val="605E5C"/>
      <w:shd w:val="clear" w:color="auto" w:fill="E1DFDD"/>
    </w:rPr>
  </w:style>
  <w:style w:type="character" w:customStyle="1" w:styleId="29">
    <w:name w:val="Unresolved Mention"/>
    <w:basedOn w:val="14"/>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3B4C6F-2016-274A-B13D-9D0DB2D07937}">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333</Words>
  <Characters>1900</Characters>
  <Lines>15</Lines>
  <Paragraphs>4</Paragraphs>
  <TotalTime>60</TotalTime>
  <ScaleCrop>false</ScaleCrop>
  <LinksUpToDate>false</LinksUpToDate>
  <CharactersWithSpaces>2229</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2020-06-10T02:39:00Z</dcterms:created>
  <dc:creator>chingo</dc:creator>
  <cp:lastModifiedBy>至上</cp:lastModifiedBy>
  <dcterms:modified xsi:type="dcterms:W3CDTF">2023-10-17T01:09:43Z</dcterms:modified>
  <cp:revision>1214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D9E95A87F96642B0955113C3CF04A246</vt:lpwstr>
  </property>
</Properties>
</file>